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start="0" w:end="0"/>
        <w:rPr/>
      </w:pPr>
      <w:r>
        <w:rPr/>
        <w:t>Enron’s Energy Market Opportunities – North America and Europe</w:t>
      </w:r>
    </w:p>
    <w:p>
      <w:pPr>
        <w:pStyle w:val="Normal"/>
        <w:numPr>
          <w:ilvl w:val="0"/>
          <w:numId w:val="2"/>
        </w:numPr>
        <w:rPr/>
      </w:pPr>
      <w:r>
        <w:rPr/>
        <w:t>We are very confident of our strong growth prospects.  We are targeting huge addressable markets with significant future market opportunities.  The yellow sections represent new markets that will be become available to us within the next five years as a result of deregulation and increased market participation.</w:t>
      </w:r>
    </w:p>
    <w:p>
      <w:pPr>
        <w:pStyle w:val="Normal"/>
        <w:numPr>
          <w:ilvl w:val="0"/>
          <w:numId w:val="2"/>
        </w:numPr>
        <w:rPr/>
      </w:pPr>
      <w:r>
        <w:rPr/>
        <w:t xml:space="preserve">Adding up the market opportunities, in just the businesses we are in today, yields a total market size of over $2 trillion, with approximately 75% ahead of us. </w:t>
      </w:r>
    </w:p>
    <w:p>
      <w:pPr>
        <w:pStyle w:val="Normal"/>
        <w:numPr>
          <w:ilvl w:val="0"/>
          <w:numId w:val="2"/>
        </w:numPr>
        <w:rPr/>
      </w:pPr>
      <w:r>
        <w:rPr/>
        <w:t xml:space="preserve">We would expect the total opportunities to become available in the next 4 to 5 years, and these market opportunities are not dependent on overall economic growth.  </w:t>
      </w:r>
    </w:p>
    <w:p>
      <w:pPr>
        <w:pStyle w:val="Normal"/>
        <w:rPr>
          <w:b/>
          <w:sz w:val="16"/>
        </w:rPr>
      </w:pPr>
      <w:r>
        <w:rPr>
          <w:b/>
          <w:sz w:val="16"/>
        </w:rPr>
      </w:r>
    </w:p>
    <w:p>
      <w:pPr>
        <w:pStyle w:val="Normal"/>
        <w:rPr/>
      </w:pPr>
      <w:r>
        <w:object w:dxaOrig="7140" w:dyaOrig="579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2pt;margin-top:171.65pt;width:285.1pt;height:234.9pt;mso-wrap-distance-left:9.05pt;mso-wrap-distance-right:9.05pt;mso-position-horizontal-relative:text;mso-position-vertical-relative:text" filled="f" o:ole="">
            <v:imagedata r:id="rId3" o:title=""/>
            <w10:wrap type="topAndBottom"/>
          </v:shape>
          <o:OLEObject Type="Embed" ProgID="Excel.Sheet.12" ShapeID="ole_rId2" DrawAspect="Content" ObjectID="_1329541187" r:id="rId2"/>
        </w:object>
        <w:object w:dxaOrig="11492" w:dyaOrig="307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9pt;margin-top:20.65pt;width:549pt;height:143.15pt;mso-wrap-distance-left:9.05pt;mso-wrap-distance-right:9.05pt;mso-position-horizontal-relative:text;mso-position-vertical-relative:text" filled="f" o:ole="">
            <v:imagedata r:id="rId5" o:title=""/>
            <w10:wrap type="topAndBottom"/>
          </v:shape>
          <o:OLEObject Type="Embed" ProgID="Excel.Sheet.12" ShapeID="ole_rId4" DrawAspect="Content" ObjectID="_69637703" r:id="rId4"/>
        </w:object>
      </w:r>
      <w:r>
        <w:rPr>
          <w:b/>
        </w:rPr>
        <w:t>Background</w:t>
      </w:r>
      <w:r>
        <w:rPr/>
        <w:t>:</w:t>
      </w:r>
    </w:p>
    <w:sectPr>
      <w:type w:val="nextPage"/>
      <w:pgSz w:orient="landscape" w:w="15840" w:h="12240"/>
      <w:pgMar w:left="1440" w:right="1440" w:gutter="0" w:header="0" w:top="815" w:footer="0" w:bottom="144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8"/>
      <w:szCs w:val="20"/>
      <w:u w:val="single"/>
    </w:rPr>
  </w:style>
  <w:style w:type="paragraph" w:styleId="Heading3">
    <w:name w:val="heading 3"/>
    <w:basedOn w:val="Normal"/>
    <w:next w:val="Normal"/>
    <w:qFormat/>
    <w:pPr>
      <w:keepNext w:val="true"/>
      <w:numPr>
        <w:ilvl w:val="2"/>
        <w:numId w:val="1"/>
      </w:numPr>
      <w:ind w:hanging="0" w:start="360" w:end="0"/>
      <w:outlineLvl w:val="2"/>
    </w:pPr>
    <w:rPr>
      <w:sz w:val="28"/>
      <w:szCs w:val="20"/>
    </w:rPr>
  </w:style>
  <w:style w:type="paragraph" w:styleId="Heading4">
    <w:name w:val="heading 4"/>
    <w:basedOn w:val="Normal"/>
    <w:next w:val="Normal"/>
    <w:qFormat/>
    <w:pPr>
      <w:keepNext w:val="true"/>
      <w:numPr>
        <w:ilvl w:val="3"/>
        <w:numId w:val="1"/>
      </w:numPr>
      <w:ind w:hanging="0" w:start="720" w:end="0"/>
      <w:outlineLvl w:val="3"/>
    </w:pPr>
    <w:rPr>
      <w:b/>
      <w:sz w:val="28"/>
      <w:u w:val="single"/>
    </w:rPr>
  </w:style>
  <w:style w:type="character" w:styleId="WW8Num1z0">
    <w:name w:val="WW8Num1z0"/>
    <w:qFormat/>
    <w:rPr>
      <w:rFonts w:ascii="Symbol" w:hAnsi="Symbol" w:cs="Symbol"/>
    </w:rPr>
  </w:style>
  <w:style w:type="character" w:styleId="WW8Num2z0">
    <w:name w:val="WW8Num2z0"/>
    <w:qFormat/>
    <w:rPr>
      <w:rFonts w:ascii="Symbol" w:hAnsi="Symbol" w:cs="Symbol"/>
      <w:color w:val="auto"/>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2001-06-06T18:45:00Z</dcterms:created>
  <dc:creator>Laura Valencia</dc:creator>
  <dc:description/>
  <dc:language>en-CA</dc:language>
  <cp:lastModifiedBy>Laura Valencia</cp:lastModifiedBy>
  <dcterms:modified xsi:type="dcterms:W3CDTF">2001-06-06T18:46:00Z</dcterms:modified>
  <cp:revision>1</cp:revision>
  <dc:subject/>
  <dc:title>Enron’s Energy Market Opportunities – North America and Europe</dc:title>
</cp:coreProperties>
</file>