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Naming Opportunities at Howard University</w:t>
      </w:r>
    </w:p>
    <w:p>
      <w:pPr>
        <w:pStyle w:val="Normal"/>
        <w:rPr>
          <w:rFonts w:ascii="Times New Roman;Times New Roman" w:hAnsi="Times New Roman;Times New Roman" w:cs="Times New Roman;Times New Roman"/>
          <w:b/>
          <w:sz w:val="18"/>
        </w:rPr>
      </w:pPr>
      <w:r>
        <w:rPr>
          <w:rFonts w:cs="Times New Roman;Times New Roman" w:ascii="Times New Roman;Times New Roman" w:hAnsi="Times New Roman;Times New Roman"/>
          <w:b/>
          <w:sz w:val="18"/>
        </w:rPr>
      </w:r>
    </w:p>
    <w:p>
      <w:pPr>
        <w:pStyle w:val="Normal"/>
        <w:rPr>
          <w:rFonts w:ascii="Times New Roman;Times New Roman" w:hAnsi="Times New Roman;Times New Roman" w:cs="Times New Roman;Times New Roman"/>
          <w:b/>
          <w:sz w:val="18"/>
        </w:rPr>
      </w:pPr>
      <w:r>
        <w:rPr>
          <w:rFonts w:cs="Times New Roman;Times New Roman" w:ascii="Times New Roman;Times New Roman" w:hAnsi="Times New Roman;Times New Roman"/>
          <w:b/>
          <w:sz w:val="18"/>
        </w:rPr>
      </w:r>
    </w:p>
    <w:p>
      <w:pPr>
        <w:pStyle w:val="Normal"/>
        <w:rPr>
          <w:rFonts w:ascii="Times New Roman;Times New Roman" w:hAnsi="Times New Roman;Times New Roman" w:cs="Times New Roman;Times New Roman"/>
          <w:b/>
          <w:sz w:val="18"/>
        </w:rPr>
      </w:pPr>
      <w:r>
        <w:rPr>
          <w:rFonts w:cs="Times New Roman;Times New Roman" w:ascii="Times New Roman;Times New Roman" w:hAnsi="Times New Roman;Times New Roman"/>
          <w:b/>
          <w:sz w:val="18"/>
        </w:rPr>
      </w:r>
    </w:p>
    <w:p>
      <w:pPr>
        <w:pStyle w:val="Heading1"/>
        <w:ind w:hanging="0" w:start="0"/>
        <w:rPr/>
      </w:pPr>
      <w:r>
        <w:rPr/>
        <w:t>SCHOOLS AND COLLEGES</w:t>
      </w:r>
    </w:p>
    <w:p>
      <w:pPr>
        <w:pStyle w:val="Normal"/>
        <w:rPr>
          <w:rFonts w:ascii="Times New Roman;Times New Roman" w:hAnsi="Times New Roman;Times New Roman" w:cs="Times New Roman;Times New Roman"/>
          <w:b/>
          <w:sz w:val="18"/>
        </w:rPr>
      </w:pPr>
      <w:r>
        <w:rPr>
          <w:rFonts w:cs="Times New Roman;Times New Roman" w:ascii="Times New Roman;Times New Roman" w:hAnsi="Times New Roman;Times New Roman"/>
          <w:b/>
          <w:sz w:val="18"/>
        </w:rPr>
      </w:r>
    </w:p>
    <w:p>
      <w:pPr>
        <w:pStyle w:val="BodyText"/>
        <w:rPr/>
      </w:pPr>
      <w:r>
        <w:rPr/>
        <w:t>Naming opportunities exist for all schools and colleges, if the University so desires.  The opportunities are for the school or college itself as well as the building.  For example, a donor might want to name “The John Doe School of Communications at Howard University,” located in the C. B. Powell Building.  For schools or colleges that are housed in buildings not yet named, there is a double naming opportunity for both the school or college and the building.  Additionally, the School of Law might consider renaming Holy Cross Hall and Notre Dame and other remnants of the School’s prior life as a Catholic School.</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Heading2"/>
        <w:ind w:hanging="0" w:start="0"/>
        <w:rPr/>
      </w:pPr>
      <w:r>
        <w:rPr/>
        <w:t>Naming Opportunities – School/College and Buildings</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numPr>
          <w:ilvl w:val="0"/>
          <w:numId w:val="4"/>
        </w:numPr>
        <w:rPr>
          <w:rFonts w:ascii="Times New Roman;Times New Roman" w:hAnsi="Times New Roman;Times New Roman" w:cs="Times New Roman;Times New Roman"/>
        </w:rPr>
      </w:pPr>
      <w:r>
        <w:rPr>
          <w:rFonts w:cs="Times New Roman;Times New Roman" w:ascii="Times New Roman;Times New Roman" w:hAnsi="Times New Roman;Times New Roman"/>
        </w:rPr>
        <w:t>College of Arts and Sciences</w:t>
      </w:r>
    </w:p>
    <w:p>
      <w:pPr>
        <w:pStyle w:val="Normal"/>
        <w:numPr>
          <w:ilvl w:val="0"/>
          <w:numId w:val="8"/>
        </w:numPr>
        <w:tabs>
          <w:tab w:val="clear" w:pos="720"/>
          <w:tab w:val="left" w:pos="144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Economics and Mathematics C.A.R. Building</w:t>
      </w:r>
    </w:p>
    <w:p>
      <w:pPr>
        <w:pStyle w:val="Normal"/>
        <w:numPr>
          <w:ilvl w:val="0"/>
          <w:numId w:val="8"/>
        </w:numPr>
        <w:tabs>
          <w:tab w:val="clear" w:pos="720"/>
          <w:tab w:val="left" w:pos="144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Human Ecology Building</w:t>
      </w:r>
    </w:p>
    <w:p>
      <w:pPr>
        <w:pStyle w:val="Normal"/>
        <w:numPr>
          <w:ilvl w:val="0"/>
          <w:numId w:val="8"/>
        </w:numPr>
        <w:tabs>
          <w:tab w:val="clear" w:pos="720"/>
          <w:tab w:val="left" w:pos="144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Physical Ed Annex</w:t>
      </w:r>
    </w:p>
    <w:p>
      <w:pPr>
        <w:pStyle w:val="Normal"/>
        <w:numPr>
          <w:ilvl w:val="0"/>
          <w:numId w:val="8"/>
        </w:numPr>
        <w:tabs>
          <w:tab w:val="clear" w:pos="720"/>
          <w:tab w:val="left" w:pos="144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Chemistry Building</w:t>
      </w:r>
    </w:p>
    <w:p>
      <w:pPr>
        <w:pStyle w:val="Normal"/>
        <w:numPr>
          <w:ilvl w:val="0"/>
          <w:numId w:val="8"/>
        </w:numPr>
        <w:tabs>
          <w:tab w:val="clear" w:pos="720"/>
          <w:tab w:val="left" w:pos="144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Evolutionary Biology Building</w:t>
      </w:r>
    </w:p>
    <w:p>
      <w:pPr>
        <w:pStyle w:val="Normal"/>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t>2.  College of Dentistry</w:t>
        <w:tab/>
        <w:tab/>
        <w:tab/>
        <w:tab/>
        <w:tab/>
        <w:t>Building already named</w:t>
      </w:r>
    </w:p>
    <w:p>
      <w:pPr>
        <w:pStyle w:val="Normal"/>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t>3.  College of Engineering, Arch., and Computer Science</w:t>
        <w:tab/>
        <w:t>Building already named</w:t>
      </w:r>
    </w:p>
    <w:p>
      <w:pPr>
        <w:pStyle w:val="Normal"/>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t>4.  College of Medicine</w:t>
        <w:tab/>
        <w:tab/>
        <w:tab/>
        <w:tab/>
        <w:tab/>
        <w:t>Building already named</w:t>
      </w:r>
    </w:p>
    <w:p>
      <w:pPr>
        <w:pStyle w:val="Normal"/>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t>5.  College of Pharmacy, Nursing and Allied Health</w:t>
      </w:r>
    </w:p>
    <w:p>
      <w:pPr>
        <w:pStyle w:val="Normal"/>
        <w:numPr>
          <w:ilvl w:val="0"/>
          <w:numId w:val="13"/>
        </w:numPr>
        <w:tabs>
          <w:tab w:val="clear" w:pos="720"/>
          <w:tab w:val="left" w:pos="144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Nursing and Allied Health Building</w:t>
      </w:r>
    </w:p>
    <w:p>
      <w:pPr>
        <w:pStyle w:val="Normal"/>
        <w:numPr>
          <w:ilvl w:val="0"/>
          <w:numId w:val="15"/>
        </w:numPr>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School of Business</w:t>
      </w:r>
    </w:p>
    <w:p>
      <w:pPr>
        <w:pStyle w:val="Normal"/>
        <w:numPr>
          <w:ilvl w:val="0"/>
          <w:numId w:val="10"/>
        </w:numPr>
        <w:tabs>
          <w:tab w:val="clear" w:pos="720"/>
          <w:tab w:val="left" w:pos="144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School of Education Business Building</w:t>
      </w:r>
    </w:p>
    <w:p>
      <w:pPr>
        <w:pStyle w:val="Normal"/>
        <w:numPr>
          <w:ilvl w:val="0"/>
          <w:numId w:val="15"/>
        </w:numPr>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School of Communications</w:t>
        <w:tab/>
        <w:tab/>
        <w:tab/>
        <w:tab/>
        <w:t>Building already named</w:t>
      </w:r>
    </w:p>
    <w:p>
      <w:pPr>
        <w:pStyle w:val="Normal"/>
        <w:numPr>
          <w:ilvl w:val="0"/>
          <w:numId w:val="15"/>
        </w:numPr>
        <w:rPr>
          <w:rFonts w:ascii="Times New Roman;Times New Roman" w:hAnsi="Times New Roman;Times New Roman" w:cs="Times New Roman;Times New Roman"/>
        </w:rPr>
      </w:pPr>
      <w:r>
        <w:rPr>
          <w:rFonts w:cs="Times New Roman;Times New Roman" w:ascii="Times New Roman;Times New Roman" w:hAnsi="Times New Roman;Times New Roman"/>
        </w:rPr>
        <w:t>School of Divinity</w:t>
        <w:tab/>
        <w:tab/>
        <w:tab/>
        <w:tab/>
        <w:tab/>
        <w:tab/>
        <w:t>Building already named</w:t>
      </w:r>
    </w:p>
    <w:p>
      <w:pPr>
        <w:pStyle w:val="Normal"/>
        <w:numPr>
          <w:ilvl w:val="0"/>
          <w:numId w:val="15"/>
        </w:numPr>
        <w:rPr>
          <w:rFonts w:ascii="Times New Roman;Times New Roman" w:hAnsi="Times New Roman;Times New Roman" w:cs="Times New Roman;Times New Roman"/>
        </w:rPr>
      </w:pPr>
      <w:r>
        <w:rPr>
          <w:rFonts w:cs="Times New Roman;Times New Roman" w:ascii="Times New Roman;Times New Roman" w:hAnsi="Times New Roman;Times New Roman"/>
        </w:rPr>
        <w:t>School of Education</w:t>
      </w:r>
    </w:p>
    <w:p>
      <w:pPr>
        <w:pStyle w:val="Normal"/>
        <w:numPr>
          <w:ilvl w:val="0"/>
          <w:numId w:val="9"/>
        </w:numPr>
        <w:tabs>
          <w:tab w:val="clear" w:pos="720"/>
          <w:tab w:val="left" w:pos="144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School of Education Building</w:t>
      </w:r>
    </w:p>
    <w:p>
      <w:pPr>
        <w:pStyle w:val="Normal"/>
        <w:numPr>
          <w:ilvl w:val="0"/>
          <w:numId w:val="15"/>
        </w:numPr>
        <w:rPr>
          <w:rFonts w:ascii="Times New Roman;Times New Roman" w:hAnsi="Times New Roman;Times New Roman" w:cs="Times New Roman;Times New Roman"/>
        </w:rPr>
      </w:pPr>
      <w:r>
        <w:rPr>
          <w:rFonts w:cs="Times New Roman;Times New Roman" w:ascii="Times New Roman;Times New Roman" w:hAnsi="Times New Roman;Times New Roman"/>
        </w:rPr>
        <w:t>School of Law</w:t>
      </w:r>
    </w:p>
    <w:p>
      <w:pPr>
        <w:pStyle w:val="Normal"/>
        <w:numPr>
          <w:ilvl w:val="0"/>
          <w:numId w:val="16"/>
        </w:numPr>
        <w:tabs>
          <w:tab w:val="clear" w:pos="720"/>
          <w:tab w:val="left" w:pos="144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Rename Holy Cross Hall and Notre Dame Hall</w:t>
      </w:r>
    </w:p>
    <w:p>
      <w:pPr>
        <w:pStyle w:val="Normal"/>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t>11. School of Social work</w:t>
        <w:tab/>
        <w:tab/>
        <w:tab/>
        <w:tab/>
        <w:tab/>
        <w:t>Building already named</w:t>
      </w:r>
    </w:p>
    <w:p>
      <w:pPr>
        <w:pStyle w:val="Normal"/>
        <w:numPr>
          <w:ilvl w:val="0"/>
          <w:numId w:val="18"/>
        </w:numPr>
        <w:rPr>
          <w:rFonts w:ascii="Times New Roman;Times New Roman" w:hAnsi="Times New Roman;Times New Roman" w:cs="Times New Roman;Times New Roman"/>
        </w:rPr>
      </w:pPr>
      <w:r>
        <w:rPr>
          <w:rFonts w:cs="Times New Roman;Times New Roman" w:ascii="Times New Roman;Times New Roman" w:hAnsi="Times New Roman;Times New Roman"/>
        </w:rPr>
        <w:t>Graduate School</w:t>
      </w:r>
    </w:p>
    <w:p>
      <w:pPr>
        <w:pStyle w:val="Normal"/>
        <w:numPr>
          <w:ilvl w:val="0"/>
          <w:numId w:val="12"/>
        </w:numPr>
        <w:tabs>
          <w:tab w:val="clear" w:pos="720"/>
          <w:tab w:val="left" w:pos="144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Graduate School Building</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Heading3"/>
        <w:ind w:start="0" w:end="0"/>
        <w:rPr/>
      </w:pPr>
      <w:r>
        <w:rPr/>
        <w:t>Other Buildings for Naming</w:t>
      </w:r>
    </w:p>
    <w:p>
      <w:pPr>
        <w:pStyle w:val="Normal"/>
        <w:ind w:start="720" w:end="0"/>
        <w:rPr>
          <w:rFonts w:ascii="Times New Roman;Times New Roman" w:hAnsi="Times New Roman;Times New Roman" w:cs="Times New Roman;Times New Roman"/>
          <w:b/>
          <w:sz w:val="18"/>
        </w:rPr>
      </w:pPr>
      <w:r>
        <w:rPr>
          <w:rFonts w:cs="Times New Roman;Times New Roman" w:ascii="Times New Roman;Times New Roman" w:hAnsi="Times New Roman;Times New Roman"/>
          <w:b/>
          <w:sz w:val="18"/>
        </w:rPr>
      </w:r>
    </w:p>
    <w:p>
      <w:pPr>
        <w:pStyle w:val="Normal"/>
        <w:numPr>
          <w:ilvl w:val="0"/>
          <w:numId w:val="17"/>
        </w:numPr>
        <w:rPr>
          <w:rFonts w:ascii="Times New Roman;Times New Roman" w:hAnsi="Times New Roman;Times New Roman" w:cs="Times New Roman;Times New Roman"/>
        </w:rPr>
      </w:pPr>
      <w:r>
        <w:rPr>
          <w:rFonts w:cs="Times New Roman;Times New Roman" w:ascii="Times New Roman;Times New Roman" w:hAnsi="Times New Roman;Times New Roman"/>
        </w:rPr>
        <w:t>ISAS Building</w:t>
      </w:r>
    </w:p>
    <w:p>
      <w:pPr>
        <w:pStyle w:val="Normal"/>
        <w:numPr>
          <w:ilvl w:val="0"/>
          <w:numId w:val="17"/>
        </w:numPr>
        <w:rPr>
          <w:rFonts w:ascii="Times New Roman;Times New Roman" w:hAnsi="Times New Roman;Times New Roman" w:cs="Times New Roman;Times New Roman"/>
        </w:rPr>
      </w:pPr>
      <w:r>
        <w:rPr>
          <w:rFonts w:cs="Times New Roman;Times New Roman" w:ascii="Times New Roman;Times New Roman" w:hAnsi="Times New Roman;Times New Roman"/>
        </w:rPr>
        <w:t>iLab</w:t>
      </w:r>
    </w:p>
    <w:p>
      <w:pPr>
        <w:pStyle w:val="Normal"/>
        <w:numPr>
          <w:ilvl w:val="0"/>
          <w:numId w:val="17"/>
        </w:numPr>
        <w:rPr>
          <w:rFonts w:ascii="Times New Roman;Times New Roman" w:hAnsi="Times New Roman;Times New Roman" w:cs="Times New Roman;Times New Roman"/>
        </w:rPr>
      </w:pPr>
      <w:r>
        <w:rPr>
          <w:rFonts w:cs="Times New Roman;Times New Roman" w:ascii="Times New Roman;Times New Roman" w:hAnsi="Times New Roman;Times New Roman"/>
        </w:rPr>
        <w:t>Tower Building (HU Hospital)</w:t>
      </w:r>
    </w:p>
    <w:p>
      <w:pPr>
        <w:pStyle w:val="Normal"/>
        <w:numPr>
          <w:ilvl w:val="0"/>
          <w:numId w:val="17"/>
        </w:numPr>
        <w:rPr>
          <w:rFonts w:ascii="Times New Roman;Times New Roman" w:hAnsi="Times New Roman;Times New Roman" w:cs="Times New Roman;Times New Roman"/>
        </w:rPr>
      </w:pPr>
      <w:r>
        <w:rPr>
          <w:rFonts w:cs="Times New Roman;Times New Roman" w:ascii="Times New Roman;Times New Roman" w:hAnsi="Times New Roman;Times New Roman"/>
        </w:rPr>
        <w:t>Miner Building/National Center for African American Heritage and Culture</w:t>
      </w:r>
    </w:p>
    <w:p>
      <w:pPr>
        <w:pStyle w:val="Normal"/>
        <w:numPr>
          <w:ilvl w:val="0"/>
          <w:numId w:val="17"/>
        </w:numPr>
        <w:rPr>
          <w:rFonts w:ascii="Times New Roman;Times New Roman" w:hAnsi="Times New Roman;Times New Roman" w:cs="Times New Roman;Times New Roman"/>
        </w:rPr>
      </w:pPr>
      <w:r>
        <w:rPr>
          <w:rFonts w:cs="Times New Roman;Times New Roman" w:ascii="Times New Roman;Times New Roman" w:hAnsi="Times New Roman;Times New Roman"/>
        </w:rPr>
        <w:t>Howard Center</w:t>
      </w:r>
    </w:p>
    <w:p>
      <w:pPr>
        <w:pStyle w:val="Normal"/>
        <w:numPr>
          <w:ilvl w:val="0"/>
          <w:numId w:val="17"/>
        </w:numPr>
        <w:rPr>
          <w:rFonts w:ascii="Times New Roman;Times New Roman" w:hAnsi="Times New Roman;Times New Roman" w:cs="Times New Roman;Times New Roman"/>
        </w:rPr>
      </w:pPr>
      <w:r>
        <w:rPr>
          <w:rFonts w:cs="Times New Roman;Times New Roman" w:ascii="Times New Roman;Times New Roman" w:hAnsi="Times New Roman;Times New Roman"/>
        </w:rPr>
        <w:t>H.U. Bookstore</w:t>
      </w:r>
    </w:p>
    <w:p>
      <w:pPr>
        <w:pStyle w:val="Normal"/>
        <w:numPr>
          <w:ilvl w:val="0"/>
          <w:numId w:val="17"/>
        </w:numPr>
        <w:rPr>
          <w:rFonts w:ascii="Times New Roman;Times New Roman" w:hAnsi="Times New Roman;Times New Roman" w:cs="Times New Roman;Times New Roman"/>
        </w:rPr>
      </w:pPr>
      <w:r>
        <w:rPr>
          <w:rFonts w:cs="Times New Roman;Times New Roman" w:ascii="Times New Roman;Times New Roman" w:hAnsi="Times New Roman;Times New Roman"/>
        </w:rPr>
        <w:t>Student Resource Center/Career Center</w:t>
      </w:r>
    </w:p>
    <w:p>
      <w:pPr>
        <w:pStyle w:val="Normal"/>
        <w:numPr>
          <w:ilvl w:val="0"/>
          <w:numId w:val="17"/>
        </w:numPr>
        <w:rPr>
          <w:rFonts w:ascii="Times New Roman;Times New Roman" w:hAnsi="Times New Roman;Times New Roman" w:cs="Times New Roman;Times New Roman"/>
        </w:rPr>
      </w:pPr>
      <w:r>
        <w:rPr>
          <w:rFonts w:cs="Times New Roman;Times New Roman" w:ascii="Times New Roman;Times New Roman" w:hAnsi="Times New Roman;Times New Roman"/>
        </w:rPr>
        <w:t>Interior rooms at Howard Hall</w:t>
      </w:r>
    </w:p>
    <w:p>
      <w:pPr>
        <w:pStyle w:val="Heading4"/>
        <w:rPr>
          <w:b w:val="false"/>
        </w:rPr>
      </w:pPr>
      <w:r>
        <w:rPr/>
        <w:t>LIBRARIES</w:t>
      </w:r>
    </w:p>
    <w:p>
      <w:pPr>
        <w:pStyle w:val="Normal"/>
        <w:rPr>
          <w:b/>
          <w:sz w:val="18"/>
        </w:rPr>
      </w:pPr>
      <w:r>
        <w:rPr>
          <w:b/>
          <w:sz w:val="18"/>
        </w:rPr>
      </w:r>
    </w:p>
    <w:p>
      <w:pPr>
        <w:pStyle w:val="Normal"/>
        <w:jc w:val="both"/>
        <w:rPr/>
      </w:pPr>
      <w:r>
        <w:rPr/>
        <w:tab/>
      </w:r>
      <w:r>
        <w:rPr>
          <w:rFonts w:cs="Times New Roman;Times New Roman" w:ascii="Times New Roman;Times New Roman" w:hAnsi="Times New Roman;Times New Roman"/>
        </w:rPr>
        <w:t>The University libraries offer a number of naming opportunities.  The building of</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Founders Library could be named, such as the “Jane Doe Building at Founders Library.”  Additionally, the Undergraduate Library, as well as the libraries that reside in the individual schools, such as the School of Business, could be named.  The new library at the School of Law is as yet unnamed; while the building, wings, atrium, and other spaces could be named at the new Louis Stokes Health Sciences Library.</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rPr/>
      </w:pPr>
      <w:r>
        <w:rPr>
          <w:rFonts w:cs="Times New Roman;Times New Roman" w:ascii="Times New Roman;Times New Roman" w:hAnsi="Times New Roman;Times New Roman"/>
          <w:b/>
        </w:rPr>
        <w:tab/>
      </w:r>
      <w:r>
        <w:rPr>
          <w:rFonts w:cs="Times New Roman;Times New Roman" w:ascii="Times New Roman;Times New Roman" w:hAnsi="Times New Roman;Times New Roman"/>
          <w:b/>
          <w:u w:val="single"/>
        </w:rPr>
        <w:t>Library and Naming Opportunities</w:t>
      </w:r>
    </w:p>
    <w:p>
      <w:pPr>
        <w:pStyle w:val="Normal"/>
        <w:rPr>
          <w:sz w:val="18"/>
        </w:rPr>
      </w:pPr>
      <w:r>
        <w:rPr>
          <w:sz w:val="18"/>
        </w:rPr>
      </w:r>
    </w:p>
    <w:p>
      <w:pPr>
        <w:pStyle w:val="Normal"/>
        <w:numPr>
          <w:ilvl w:val="0"/>
          <w:numId w:val="6"/>
        </w:numPr>
        <w:tabs>
          <w:tab w:val="clear" w:pos="720"/>
          <w:tab w:val="left" w:pos="144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Undergraduate Library</w:t>
      </w:r>
    </w:p>
    <w:p>
      <w:pPr>
        <w:pStyle w:val="Normal"/>
        <w:numPr>
          <w:ilvl w:val="0"/>
          <w:numId w:val="6"/>
        </w:numPr>
        <w:tabs>
          <w:tab w:val="clear" w:pos="720"/>
          <w:tab w:val="left" w:pos="144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Law School Library</w:t>
      </w:r>
    </w:p>
    <w:p>
      <w:pPr>
        <w:pStyle w:val="Normal"/>
        <w:numPr>
          <w:ilvl w:val="0"/>
          <w:numId w:val="6"/>
        </w:numPr>
        <w:tabs>
          <w:tab w:val="clear" w:pos="720"/>
          <w:tab w:val="left" w:pos="144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Divinity School Library</w:t>
      </w:r>
    </w:p>
    <w:p>
      <w:pPr>
        <w:pStyle w:val="Normal"/>
        <w:numPr>
          <w:ilvl w:val="0"/>
          <w:numId w:val="6"/>
        </w:numPr>
        <w:tabs>
          <w:tab w:val="clear" w:pos="720"/>
          <w:tab w:val="left" w:pos="144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Business School Library</w:t>
      </w:r>
    </w:p>
    <w:p>
      <w:pPr>
        <w:pStyle w:val="Normal"/>
        <w:numPr>
          <w:ilvl w:val="0"/>
          <w:numId w:val="6"/>
        </w:numPr>
        <w:tabs>
          <w:tab w:val="clear" w:pos="720"/>
          <w:tab w:val="left" w:pos="144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Architecture Library</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Heading1"/>
        <w:ind w:hanging="0" w:start="0"/>
        <w:rPr/>
      </w:pPr>
      <w:r>
        <w:rPr/>
        <w:t>CENTERS AND INSTITUTES</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BodyText"/>
        <w:rPr/>
      </w:pPr>
      <w:r>
        <w:rPr/>
        <w:t>Additional opportunities exist for centers and institutes at the University, particularly those affiliated with the College of Medicine, such as the Cancer Center or the Sickle Cell Anemia Center.  However, the question of the permanency of these centers must be answered, since naming implies a certain amount of longevity.</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tab/>
        <w:tab/>
      </w:r>
    </w:p>
    <w:p>
      <w:pPr>
        <w:pStyle w:val="Heading2"/>
        <w:ind w:hanging="0" w:start="0"/>
        <w:rPr/>
      </w:pPr>
      <w:r>
        <w:rPr/>
        <w:t>Centers/Institutes Naming Opportunities</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ab/>
        <w:t>1.  African American Resource Center</w:t>
        <w:tab/>
        <w:tab/>
        <w:t>Center for Urban Progress</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ab/>
        <w:t>2.  Asthma Management Program</w:t>
        <w:tab/>
        <w:tab/>
        <w:tab/>
        <w:t>Center for Urban Progress</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ab/>
        <w:t>3.  Cancer Center</w:t>
        <w:tab/>
        <w:tab/>
        <w:tab/>
        <w:tab/>
        <w:tab/>
        <w:t>Child Development Center</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ab/>
        <w:t>4.  Center for Disability and Socioeconomic Policy</w:t>
        <w:tab/>
        <w:t>General Clinical Research Center</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ab/>
        <w:t>5.  Center for Drug Abuse Research</w:t>
        <w:tab/>
        <w:tab/>
        <w:tab/>
        <w:t>Human Genome Research Program</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ab/>
        <w:t>6.  Center for Energy Systems and Controls</w:t>
        <w:tab/>
        <w:tab/>
        <w:t>Institute for Drug Abuse&amp;Addiction</w:t>
      </w:r>
    </w:p>
    <w:p>
      <w:pPr>
        <w:pStyle w:val="Normal"/>
        <w:ind w:hanging="720" w:start="720" w:end="0"/>
        <w:rPr>
          <w:rFonts w:ascii="Times New Roman;Times New Roman" w:hAnsi="Times New Roman;Times New Roman" w:cs="Times New Roman;Times New Roman"/>
        </w:rPr>
      </w:pPr>
      <w:r>
        <w:rPr>
          <w:rFonts w:cs="Times New Roman;Times New Roman" w:ascii="Times New Roman;Times New Roman" w:hAnsi="Times New Roman;Times New Roman"/>
        </w:rPr>
        <w:tab/>
        <w:t>7.  Center for Gerontology</w:t>
        <w:tab/>
        <w:tab/>
        <w:tab/>
        <w:tab/>
        <w:t xml:space="preserve">Institute for Science, Space &amp; </w:t>
      </w:r>
    </w:p>
    <w:p>
      <w:pPr>
        <w:pStyle w:val="Normal"/>
        <w:ind w:firstLine="720" w:start="5040" w:end="0"/>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Technology</w:t>
      </w:r>
    </w:p>
    <w:p>
      <w:pPr>
        <w:pStyle w:val="Normal"/>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t>8.  Center for research on the Education of Students</w:t>
      </w:r>
    </w:p>
    <w:p>
      <w:pPr>
        <w:pStyle w:val="Normal"/>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Placed at Risk</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ab/>
        <w:t>9.  Center for Sickle Cell Disease</w:t>
        <w:tab/>
        <w:tab/>
        <w:tab/>
        <w:t>Materials Science Research Center</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ab/>
        <w:t>10.Center for the Study of Terrestrial and</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ab/>
        <w:t xml:space="preserve">        Extraterrestrial Atmosphere</w:t>
      </w:r>
    </w:p>
    <w:p>
      <w:pPr>
        <w:pStyle w:val="Normal"/>
        <w:numPr>
          <w:ilvl w:val="0"/>
          <w:numId w:val="15"/>
        </w:numPr>
        <w:rPr>
          <w:rFonts w:ascii="Times New Roman;Times New Roman" w:hAnsi="Times New Roman;Times New Roman" w:cs="Times New Roman;Times New Roman"/>
        </w:rPr>
      </w:pPr>
      <w:r>
        <w:rPr>
          <w:rFonts w:cs="Times New Roman;Times New Roman" w:ascii="Times New Roman;Times New Roman" w:hAnsi="Times New Roman;Times New Roman"/>
        </w:rPr>
        <w:t>Minority Organ Tissue and Transplant</w:t>
      </w:r>
    </w:p>
    <w:p>
      <w:pPr>
        <w:pStyle w:val="Normal"/>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Education Program</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ab/>
        <w:t>12. New York African Burial Ground Project</w:t>
        <w:tab/>
        <w:t>Speech and Hearing Clinic</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ab/>
        <w:t>13. Small Business Development Center</w:t>
        <w:tab/>
        <w:tab/>
        <w:t>Vitiligo Center</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p>
    <w:p>
      <w:pPr>
        <w:pStyle w:val="Heading1"/>
        <w:ind w:hanging="0" w:start="0"/>
        <w:rPr>
          <w:rFonts w:ascii="Times New Roman;Times New Roman" w:hAnsi="Times New Roman;Times New Roman" w:cs="Times New Roman;Times New Roman"/>
        </w:rPr>
      </w:pPr>
      <w:r>
        <w:rPr>
          <w:rFonts w:cs="Times New Roman;Times New Roman"/>
        </w:rPr>
      </w:r>
    </w:p>
    <w:p>
      <w:pPr>
        <w:pStyle w:val="Heading1"/>
        <w:ind w:hanging="0" w:start="0"/>
        <w:rPr/>
      </w:pPr>
      <w:r>
        <w:rPr/>
      </w:r>
    </w:p>
    <w:p>
      <w:pPr>
        <w:pStyle w:val="Heading1"/>
        <w:ind w:hanging="0" w:start="0"/>
        <w:rPr/>
      </w:pPr>
      <w:r>
        <w:rPr/>
        <w:t>INTERIOR SPACES</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BodyText"/>
        <w:rPr/>
      </w:pPr>
      <w:r>
        <w:rPr/>
        <w:t>The L.K. Downing Building (Engineering), the Howard Mackey Building (Architecture), Blackburn Center, the Bethune Annex, Douglass, Locke and Childers Halls offer considerable opportunities for the naming of interior spaces for significant donors. Some examples:</w:t>
      </w:r>
    </w:p>
    <w:p>
      <w:pPr>
        <w:pStyle w:val="Normal"/>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Heading2"/>
        <w:ind w:hanging="0" w:start="0"/>
        <w:rPr/>
      </w:pPr>
      <w:r>
        <w:rPr/>
        <w:t>Interior of L.K. Downing Building</w:t>
      </w:r>
    </w:p>
    <w:p>
      <w:pPr>
        <w:pStyle w:val="Normal"/>
        <w:rPr>
          <w:rFonts w:ascii="Times New Roman;Times New Roman" w:hAnsi="Times New Roman;Times New Roman" w:cs="Times New Roman;Times New Roman"/>
          <w:sz w:val="18"/>
          <w:u w:val="single"/>
        </w:rPr>
      </w:pPr>
      <w:r>
        <w:rPr>
          <w:rFonts w:cs="Times New Roman;Times New Roman" w:ascii="Times New Roman;Times New Roman" w:hAnsi="Times New Roman;Times New Roman"/>
          <w:sz w:val="18"/>
          <w:u w:val="single"/>
        </w:rPr>
      </w:r>
    </w:p>
    <w:p>
      <w:pPr>
        <w:pStyle w:val="Normal"/>
        <w:numPr>
          <w:ilvl w:val="0"/>
          <w:numId w:val="5"/>
        </w:numPr>
        <w:rPr>
          <w:rFonts w:ascii="Times New Roman;Times New Roman" w:hAnsi="Times New Roman;Times New Roman" w:cs="Times New Roman;Times New Roman"/>
        </w:rPr>
      </w:pPr>
      <w:r>
        <w:rPr>
          <w:rFonts w:cs="Times New Roman;Times New Roman" w:ascii="Times New Roman;Times New Roman" w:hAnsi="Times New Roman;Times New Roman"/>
        </w:rPr>
        <w:t>Main Auditorium, newly renovated, seating about 200</w:t>
      </w:r>
    </w:p>
    <w:p>
      <w:pPr>
        <w:pStyle w:val="Normal"/>
        <w:numPr>
          <w:ilvl w:val="0"/>
          <w:numId w:val="5"/>
        </w:numPr>
        <w:rPr>
          <w:rFonts w:ascii="Times New Roman;Times New Roman" w:hAnsi="Times New Roman;Times New Roman" w:cs="Times New Roman;Times New Roman"/>
        </w:rPr>
      </w:pPr>
      <w:r>
        <w:rPr>
          <w:rFonts w:cs="Times New Roman;Times New Roman" w:ascii="Times New Roman;Times New Roman" w:hAnsi="Times New Roman;Times New Roman"/>
        </w:rPr>
        <w:t>Reading Room</w:t>
      </w:r>
    </w:p>
    <w:p>
      <w:pPr>
        <w:pStyle w:val="Normal"/>
        <w:numPr>
          <w:ilvl w:val="0"/>
          <w:numId w:val="5"/>
        </w:numPr>
        <w:rPr>
          <w:rFonts w:ascii="Times New Roman;Times New Roman" w:hAnsi="Times New Roman;Times New Roman" w:cs="Times New Roman;Times New Roman"/>
        </w:rPr>
      </w:pPr>
      <w:r>
        <w:rPr>
          <w:rFonts w:cs="Times New Roman;Times New Roman" w:ascii="Times New Roman;Times New Roman" w:hAnsi="Times New Roman;Times New Roman"/>
        </w:rPr>
        <w:t>Seminar/Conference Room in Chemical Engineering Wing</w:t>
      </w:r>
    </w:p>
    <w:p>
      <w:pPr>
        <w:pStyle w:val="Normal"/>
        <w:numPr>
          <w:ilvl w:val="0"/>
          <w:numId w:val="5"/>
        </w:numPr>
        <w:rPr>
          <w:rFonts w:ascii="Times New Roman;Times New Roman" w:hAnsi="Times New Roman;Times New Roman" w:cs="Times New Roman;Times New Roman"/>
        </w:rPr>
      </w:pPr>
      <w:r>
        <w:rPr>
          <w:rFonts w:cs="Times New Roman;Times New Roman" w:ascii="Times New Roman;Times New Roman" w:hAnsi="Times New Roman;Times New Roman"/>
        </w:rPr>
        <w:t>SmartRoom (Seminar/Conference)</w:t>
      </w:r>
    </w:p>
    <w:p>
      <w:pPr>
        <w:pStyle w:val="Normal"/>
        <w:numPr>
          <w:ilvl w:val="0"/>
          <w:numId w:val="5"/>
        </w:numPr>
        <w:rPr>
          <w:rFonts w:ascii="Times New Roman;Times New Roman" w:hAnsi="Times New Roman;Times New Roman" w:cs="Times New Roman;Times New Roman"/>
        </w:rPr>
      </w:pPr>
      <w:r>
        <w:rPr>
          <w:rFonts w:cs="Times New Roman;Times New Roman" w:ascii="Times New Roman;Times New Roman" w:hAnsi="Times New Roman;Times New Roman"/>
        </w:rPr>
        <w:t>Computer Learning and Design Center (CLDC)</w:t>
      </w:r>
    </w:p>
    <w:p>
      <w:pPr>
        <w:pStyle w:val="Normal"/>
        <w:numPr>
          <w:ilvl w:val="0"/>
          <w:numId w:val="5"/>
        </w:numPr>
        <w:rPr>
          <w:rFonts w:ascii="Times New Roman;Times New Roman" w:hAnsi="Times New Roman;Times New Roman" w:cs="Times New Roman;Times New Roman"/>
        </w:rPr>
      </w:pPr>
      <w:r>
        <w:rPr>
          <w:rFonts w:cs="Times New Roman;Times New Roman" w:ascii="Times New Roman;Times New Roman" w:hAnsi="Times New Roman;Times New Roman"/>
        </w:rPr>
        <w:t>Computer Laboratories</w:t>
      </w:r>
    </w:p>
    <w:p>
      <w:pPr>
        <w:pStyle w:val="Normal"/>
        <w:numPr>
          <w:ilvl w:val="0"/>
          <w:numId w:val="5"/>
        </w:numPr>
        <w:rPr>
          <w:rFonts w:ascii="Times New Roman;Times New Roman" w:hAnsi="Times New Roman;Times New Roman" w:cs="Times New Roman;Times New Roman"/>
        </w:rPr>
      </w:pPr>
      <w:r>
        <w:rPr>
          <w:rFonts w:cs="Times New Roman;Times New Roman" w:ascii="Times New Roman;Times New Roman" w:hAnsi="Times New Roman;Times New Roman"/>
        </w:rPr>
        <w:t>The Materials Science Research Center</w:t>
      </w:r>
    </w:p>
    <w:p>
      <w:pPr>
        <w:pStyle w:val="Normal"/>
        <w:numPr>
          <w:ilvl w:val="0"/>
          <w:numId w:val="5"/>
        </w:numPr>
        <w:rPr>
          <w:rFonts w:ascii="Times New Roman;Times New Roman" w:hAnsi="Times New Roman;Times New Roman" w:cs="Times New Roman;Times New Roman"/>
        </w:rPr>
      </w:pPr>
      <w:r>
        <w:rPr>
          <w:rFonts w:cs="Times New Roman;Times New Roman" w:ascii="Times New Roman;Times New Roman" w:hAnsi="Times New Roman;Times New Roman"/>
        </w:rPr>
        <w:t>Laboratories in Chemical, Civil, Electrical and Mechanical</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b/>
          <w:u w:val="single"/>
        </w:rPr>
        <w:t>Interior of Howard Mackey Building (Architecture)</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numPr>
          <w:ilvl w:val="0"/>
          <w:numId w:val="21"/>
        </w:numPr>
        <w:rPr>
          <w:rFonts w:ascii="Times New Roman;Times New Roman" w:hAnsi="Times New Roman;Times New Roman" w:cs="Times New Roman;Times New Roman"/>
        </w:rPr>
      </w:pPr>
      <w:r>
        <w:rPr>
          <w:rFonts w:cs="Times New Roman;Times New Roman" w:ascii="Times New Roman;Times New Roman" w:hAnsi="Times New Roman;Times New Roman"/>
        </w:rPr>
        <w:t>Art and Architecture Gallery</w:t>
      </w:r>
    </w:p>
    <w:p>
      <w:pPr>
        <w:pStyle w:val="Normal"/>
        <w:numPr>
          <w:ilvl w:val="0"/>
          <w:numId w:val="21"/>
        </w:numPr>
        <w:rPr>
          <w:rFonts w:ascii="Times New Roman;Times New Roman" w:hAnsi="Times New Roman;Times New Roman" w:cs="Times New Roman;Times New Roman"/>
        </w:rPr>
      </w:pPr>
      <w:r>
        <w:rPr>
          <w:rFonts w:cs="Times New Roman;Times New Roman" w:ascii="Times New Roman;Times New Roman" w:hAnsi="Times New Roman;Times New Roman"/>
        </w:rPr>
        <w:t>Library</w:t>
      </w:r>
    </w:p>
    <w:p>
      <w:pPr>
        <w:pStyle w:val="Normal"/>
        <w:numPr>
          <w:ilvl w:val="0"/>
          <w:numId w:val="21"/>
        </w:numPr>
        <w:rPr>
          <w:rFonts w:ascii="Times New Roman;Times New Roman" w:hAnsi="Times New Roman;Times New Roman" w:cs="Times New Roman;Times New Roman"/>
        </w:rPr>
      </w:pPr>
      <w:r>
        <w:rPr>
          <w:rFonts w:cs="Times New Roman;Times New Roman" w:ascii="Times New Roman;Times New Roman" w:hAnsi="Times New Roman;Times New Roman"/>
        </w:rPr>
        <w:t>SmartRoom</w:t>
      </w:r>
    </w:p>
    <w:p>
      <w:pPr>
        <w:pStyle w:val="Normal"/>
        <w:numPr>
          <w:ilvl w:val="0"/>
          <w:numId w:val="21"/>
        </w:numPr>
        <w:rPr>
          <w:rFonts w:ascii="Times New Roman;Times New Roman" w:hAnsi="Times New Roman;Times New Roman" w:cs="Times New Roman;Times New Roman"/>
        </w:rPr>
      </w:pPr>
      <w:r>
        <w:rPr>
          <w:rFonts w:cs="Times New Roman;Times New Roman" w:ascii="Times New Roman;Times New Roman" w:hAnsi="Times New Roman;Times New Roman"/>
        </w:rPr>
        <w:t>Design Studios</w:t>
      </w:r>
    </w:p>
    <w:p>
      <w:pPr>
        <w:pStyle w:val="Normal"/>
        <w:numPr>
          <w:ilvl w:val="0"/>
          <w:numId w:val="21"/>
        </w:numPr>
        <w:rPr>
          <w:rFonts w:ascii="Times New Roman;Times New Roman" w:hAnsi="Times New Roman;Times New Roman" w:cs="Times New Roman;Times New Roman"/>
        </w:rPr>
      </w:pPr>
      <w:r>
        <w:rPr>
          <w:rFonts w:cs="Times New Roman;Times New Roman" w:ascii="Times New Roman;Times New Roman" w:hAnsi="Times New Roman;Times New Roman"/>
        </w:rPr>
        <w:t>Lobby of Mackey Building</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Heading2"/>
        <w:ind w:hanging="0" w:start="0"/>
        <w:rPr/>
      </w:pPr>
      <w:r>
        <w:rPr/>
        <w:t>Bethune Annex</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0"/>
          <w:numId w:val="2"/>
        </w:numPr>
        <w:rPr>
          <w:rFonts w:ascii="Times New Roman;Times New Roman" w:hAnsi="Times New Roman;Times New Roman" w:cs="Times New Roman;Times New Roman"/>
        </w:rPr>
      </w:pPr>
      <w:r>
        <w:rPr>
          <w:rFonts w:cs="Times New Roman;Times New Roman" w:ascii="Times New Roman;Times New Roman" w:hAnsi="Times New Roman;Times New Roman"/>
        </w:rPr>
        <w:t>Seminar Room, 1</w:t>
      </w:r>
      <w:r>
        <w:rPr>
          <w:rFonts w:cs="Times New Roman;Times New Roman" w:ascii="Times New Roman;Times New Roman" w:hAnsi="Times New Roman;Times New Roman"/>
          <w:vertAlign w:val="superscript"/>
        </w:rPr>
        <w:t xml:space="preserve">st </w:t>
      </w:r>
      <w:r>
        <w:rPr>
          <w:rFonts w:cs="Times New Roman;Times New Roman" w:ascii="Times New Roman;Times New Roman" w:hAnsi="Times New Roman;Times New Roman"/>
        </w:rPr>
        <w:t xml:space="preserve"> level</w:t>
      </w:r>
    </w:p>
    <w:p>
      <w:pPr>
        <w:pStyle w:val="Normal"/>
        <w:numPr>
          <w:ilvl w:val="0"/>
          <w:numId w:val="2"/>
        </w:numPr>
        <w:rPr>
          <w:rFonts w:ascii="Times New Roman;Times New Roman" w:hAnsi="Times New Roman;Times New Roman" w:cs="Times New Roman;Times New Roman"/>
        </w:rPr>
      </w:pPr>
      <w:r>
        <w:rPr>
          <w:rFonts w:cs="Times New Roman;Times New Roman" w:ascii="Times New Roman;Times New Roman" w:hAnsi="Times New Roman;Times New Roman"/>
        </w:rPr>
        <w:t>Two Computer Laboratories</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Heading2"/>
        <w:ind w:hanging="0" w:start="0"/>
        <w:rPr>
          <w:u w:val="none"/>
        </w:rPr>
      </w:pPr>
      <w:r>
        <w:rPr/>
        <w:t>Douglass Hall</w:t>
      </w:r>
    </w:p>
    <w:p>
      <w:pPr>
        <w:pStyle w:val="Normal"/>
        <w:rPr>
          <w:rFonts w:ascii="Times New Roman;Times New Roman" w:hAnsi="Times New Roman;Times New Roman" w:cs="Times New Roman;Times New Roman"/>
          <w:sz w:val="18"/>
          <w:u w:val="none"/>
        </w:rPr>
      </w:pPr>
      <w:r>
        <w:rPr>
          <w:rFonts w:cs="Times New Roman;Times New Roman" w:ascii="Times New Roman;Times New Roman" w:hAnsi="Times New Roman;Times New Roman"/>
          <w:sz w:val="18"/>
          <w:u w:val="none"/>
        </w:rPr>
      </w:r>
    </w:p>
    <w:p>
      <w:pPr>
        <w:pStyle w:val="Normal"/>
        <w:numPr>
          <w:ilvl w:val="0"/>
          <w:numId w:val="11"/>
        </w:numPr>
        <w:rPr>
          <w:rFonts w:ascii="Times New Roman;Times New Roman" w:hAnsi="Times New Roman;Times New Roman" w:cs="Times New Roman;Times New Roman"/>
        </w:rPr>
      </w:pPr>
      <w:r>
        <w:rPr>
          <w:rFonts w:cs="Times New Roman;Times New Roman" w:ascii="Times New Roman;Times New Roman" w:hAnsi="Times New Roman;Times New Roman"/>
        </w:rPr>
        <w:t>Social Science Laboratories, basement floor</w:t>
      </w:r>
    </w:p>
    <w:p>
      <w:pPr>
        <w:pStyle w:val="Normal"/>
        <w:numPr>
          <w:ilvl w:val="0"/>
          <w:numId w:val="11"/>
        </w:numPr>
        <w:rPr>
          <w:rFonts w:ascii="Times New Roman;Times New Roman" w:hAnsi="Times New Roman;Times New Roman" w:cs="Times New Roman;Times New Roman"/>
        </w:rPr>
      </w:pPr>
      <w:r>
        <w:rPr>
          <w:rFonts w:cs="Times New Roman;Times New Roman" w:ascii="Times New Roman;Times New Roman" w:hAnsi="Times New Roman;Times New Roman"/>
        </w:rPr>
        <w:t>History seminar rooms</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Heading2"/>
        <w:ind w:hanging="0" w:start="0"/>
        <w:rPr>
          <w:u w:val="none"/>
        </w:rPr>
      </w:pPr>
      <w:r>
        <w:rPr/>
        <w:t>Locke Hall</w:t>
      </w:r>
    </w:p>
    <w:p>
      <w:pPr>
        <w:pStyle w:val="Normal"/>
        <w:rPr>
          <w:rFonts w:ascii="Times New Roman;Times New Roman" w:hAnsi="Times New Roman;Times New Roman" w:cs="Times New Roman;Times New Roman"/>
          <w:sz w:val="18"/>
          <w:u w:val="none"/>
        </w:rPr>
      </w:pPr>
      <w:r>
        <w:rPr>
          <w:rFonts w:cs="Times New Roman;Times New Roman" w:ascii="Times New Roman;Times New Roman" w:hAnsi="Times New Roman;Times New Roman"/>
          <w:sz w:val="18"/>
          <w:u w:val="none"/>
        </w:rPr>
      </w:r>
    </w:p>
    <w:p>
      <w:pPr>
        <w:pStyle w:val="Normal"/>
        <w:numPr>
          <w:ilvl w:val="0"/>
          <w:numId w:val="19"/>
        </w:numPr>
        <w:rPr>
          <w:rFonts w:ascii="Times New Roman;Times New Roman" w:hAnsi="Times New Roman;Times New Roman" w:cs="Times New Roman;Times New Roman"/>
        </w:rPr>
      </w:pPr>
      <w:r>
        <w:rPr>
          <w:rFonts w:cs="Times New Roman;Times New Roman" w:ascii="Times New Roman;Times New Roman" w:hAnsi="Times New Roman;Times New Roman"/>
        </w:rPr>
        <w:t>Distance Learning Space</w:t>
      </w:r>
    </w:p>
    <w:p>
      <w:pPr>
        <w:pStyle w:val="Normal"/>
        <w:numPr>
          <w:ilvl w:val="0"/>
          <w:numId w:val="19"/>
        </w:numPr>
        <w:rPr>
          <w:rFonts w:ascii="Times New Roman;Times New Roman" w:hAnsi="Times New Roman;Times New Roman" w:cs="Times New Roman;Times New Roman"/>
        </w:rPr>
      </w:pPr>
      <w:r>
        <w:rPr>
          <w:rFonts w:cs="Times New Roman;Times New Roman" w:ascii="Times New Roman;Times New Roman" w:hAnsi="Times New Roman;Times New Roman"/>
        </w:rPr>
        <w:t>The Writing Laboratory</w:t>
      </w:r>
    </w:p>
    <w:p>
      <w:pPr>
        <w:pStyle w:val="Normal"/>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(This facility is located on the ground floor, contains modern furnishings and equipment; it is used by students under Dr. Eleanor Traylor.)</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Heading2"/>
        <w:ind w:hanging="0" w:start="0"/>
        <w:rPr>
          <w:u w:val="none"/>
        </w:rPr>
      </w:pPr>
      <w:r>
        <w:rPr/>
        <w:t>Childers Hall</w:t>
      </w:r>
    </w:p>
    <w:p>
      <w:pPr>
        <w:pStyle w:val="Normal"/>
        <w:rPr>
          <w:rFonts w:ascii="Times New Roman;Times New Roman" w:hAnsi="Times New Roman;Times New Roman" w:cs="Times New Roman;Times New Roman"/>
          <w:sz w:val="18"/>
          <w:u w:val="none"/>
        </w:rPr>
      </w:pPr>
      <w:r>
        <w:rPr>
          <w:rFonts w:cs="Times New Roman;Times New Roman" w:ascii="Times New Roman;Times New Roman" w:hAnsi="Times New Roman;Times New Roman"/>
          <w:sz w:val="18"/>
          <w:u w:val="none"/>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Home of the Fine Arts Department (formerly College of Fine Arts), this building contains a number of spaces used to train students for a career on the stage in music, dance or drama.</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numPr>
          <w:ilvl w:val="0"/>
          <w:numId w:val="20"/>
        </w:numPr>
        <w:rPr>
          <w:rFonts w:ascii="Times New Roman;Times New Roman" w:hAnsi="Times New Roman;Times New Roman" w:cs="Times New Roman;Times New Roman"/>
        </w:rPr>
      </w:pPr>
      <w:r>
        <w:rPr>
          <w:rFonts w:cs="Times New Roman;Times New Roman" w:ascii="Times New Roman;Times New Roman" w:hAnsi="Times New Roman;Times New Roman"/>
        </w:rPr>
        <w:t>Classrooms for the theater and acting</w:t>
      </w:r>
    </w:p>
    <w:p>
      <w:pPr>
        <w:pStyle w:val="Normal"/>
        <w:numPr>
          <w:ilvl w:val="0"/>
          <w:numId w:val="20"/>
        </w:numPr>
        <w:rPr>
          <w:rFonts w:ascii="Times New Roman;Times New Roman" w:hAnsi="Times New Roman;Times New Roman" w:cs="Times New Roman;Times New Roman"/>
        </w:rPr>
      </w:pPr>
      <w:r>
        <w:rPr>
          <w:rFonts w:cs="Times New Roman;Times New Roman" w:ascii="Times New Roman;Times New Roman" w:hAnsi="Times New Roman;Times New Roman"/>
        </w:rPr>
        <w:t>The third floor auditorium</w:t>
      </w:r>
    </w:p>
    <w:p>
      <w:pPr>
        <w:pStyle w:val="Normal"/>
        <w:numPr>
          <w:ilvl w:val="0"/>
          <w:numId w:val="20"/>
        </w:numPr>
        <w:rPr>
          <w:rFonts w:ascii="Times New Roman;Times New Roman" w:hAnsi="Times New Roman;Times New Roman" w:cs="Times New Roman;Times New Roman"/>
        </w:rPr>
      </w:pPr>
      <w:r>
        <w:rPr>
          <w:rFonts w:cs="Times New Roman;Times New Roman" w:ascii="Times New Roman;Times New Roman" w:hAnsi="Times New Roman;Times New Roman"/>
        </w:rPr>
        <w:t>The dance studio</w:t>
      </w:r>
    </w:p>
    <w:p>
      <w:pPr>
        <w:pStyle w:val="Normal"/>
        <w:numPr>
          <w:ilvl w:val="0"/>
          <w:numId w:val="20"/>
        </w:numPr>
        <w:rPr>
          <w:rFonts w:ascii="Times New Roman;Times New Roman" w:hAnsi="Times New Roman;Times New Roman" w:cs="Times New Roman;Times New Roman"/>
        </w:rPr>
      </w:pPr>
      <w:r>
        <w:rPr>
          <w:rFonts w:cs="Times New Roman;Times New Roman" w:ascii="Times New Roman;Times New Roman" w:hAnsi="Times New Roman;Times New Roman"/>
        </w:rPr>
        <w:t>The environmental theater stage</w:t>
      </w:r>
    </w:p>
    <w:p>
      <w:pPr>
        <w:pStyle w:val="Normal"/>
        <w:numPr>
          <w:ilvl w:val="0"/>
          <w:numId w:val="20"/>
        </w:numPr>
        <w:rPr>
          <w:rFonts w:ascii="Times New Roman;Times New Roman" w:hAnsi="Times New Roman;Times New Roman" w:cs="Times New Roman;Times New Roman"/>
        </w:rPr>
      </w:pPr>
      <w:r>
        <w:rPr>
          <w:rFonts w:cs="Times New Roman;Times New Roman" w:ascii="Times New Roman;Times New Roman" w:hAnsi="Times New Roman;Times New Roman"/>
        </w:rPr>
        <w:t>The scene shop</w:t>
      </w:r>
    </w:p>
    <w:p>
      <w:pPr>
        <w:pStyle w:val="Normal"/>
        <w:numPr>
          <w:ilvl w:val="0"/>
          <w:numId w:val="20"/>
        </w:numPr>
        <w:rPr>
          <w:rFonts w:ascii="Times New Roman;Times New Roman" w:hAnsi="Times New Roman;Times New Roman" w:cs="Times New Roman;Times New Roman"/>
        </w:rPr>
      </w:pPr>
      <w:r>
        <w:rPr>
          <w:rFonts w:cs="Times New Roman;Times New Roman" w:ascii="Times New Roman;Times New Roman" w:hAnsi="Times New Roman;Times New Roman"/>
        </w:rPr>
        <w:t>The costume room</w:t>
      </w:r>
    </w:p>
    <w:p>
      <w:pPr>
        <w:pStyle w:val="Normal"/>
        <w:numPr>
          <w:ilvl w:val="0"/>
          <w:numId w:val="20"/>
        </w:numPr>
        <w:rPr>
          <w:rFonts w:ascii="Times New Roman;Times New Roman" w:hAnsi="Times New Roman;Times New Roman" w:cs="Times New Roman;Times New Roman"/>
        </w:rPr>
      </w:pPr>
      <w:r>
        <w:rPr>
          <w:rFonts w:cs="Times New Roman;Times New Roman" w:ascii="Times New Roman;Times New Roman" w:hAnsi="Times New Roman;Times New Roman"/>
        </w:rPr>
        <w:t>The make-up room</w:t>
      </w:r>
    </w:p>
    <w:p>
      <w:pPr>
        <w:pStyle w:val="Normal"/>
        <w:numPr>
          <w:ilvl w:val="0"/>
          <w:numId w:val="20"/>
        </w:numPr>
        <w:rPr>
          <w:rFonts w:ascii="Times New Roman;Times New Roman" w:hAnsi="Times New Roman;Times New Roman" w:cs="Times New Roman;Times New Roman"/>
        </w:rPr>
      </w:pPr>
      <w:r>
        <w:rPr>
          <w:rFonts w:cs="Times New Roman;Times New Roman" w:ascii="Times New Roman;Times New Roman" w:hAnsi="Times New Roman;Times New Roman"/>
        </w:rPr>
        <w:t>Band practice rooms</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Heading2"/>
        <w:ind w:hanging="0" w:start="0"/>
        <w:rPr>
          <w:u w:val="none"/>
        </w:rPr>
      </w:pPr>
      <w:r>
        <w:rPr/>
        <w:t>Blackburn Center</w:t>
      </w:r>
    </w:p>
    <w:p>
      <w:pPr>
        <w:pStyle w:val="Normal"/>
        <w:rPr>
          <w:rFonts w:ascii="Times New Roman;Times New Roman" w:hAnsi="Times New Roman;Times New Roman" w:cs="Times New Roman;Times New Roman"/>
          <w:sz w:val="18"/>
          <w:u w:val="none"/>
        </w:rPr>
      </w:pPr>
      <w:r>
        <w:rPr>
          <w:rFonts w:cs="Times New Roman;Times New Roman" w:ascii="Times New Roman;Times New Roman" w:hAnsi="Times New Roman;Times New Roman"/>
          <w:sz w:val="18"/>
          <w:u w:val="none"/>
        </w:rPr>
      </w:r>
    </w:p>
    <w:p>
      <w:pPr>
        <w:pStyle w:val="Normal"/>
        <w:numPr>
          <w:ilvl w:val="0"/>
          <w:numId w:val="14"/>
        </w:numPr>
        <w:rPr>
          <w:rFonts w:ascii="Times New Roman;Times New Roman" w:hAnsi="Times New Roman;Times New Roman" w:cs="Times New Roman;Times New Roman"/>
        </w:rPr>
      </w:pPr>
      <w:r>
        <w:rPr>
          <w:rFonts w:cs="Times New Roman;Times New Roman" w:ascii="Times New Roman;Times New Roman" w:hAnsi="Times New Roman;Times New Roman"/>
        </w:rPr>
        <w:t>The faculty-staff restaurant</w:t>
      </w:r>
    </w:p>
    <w:p>
      <w:pPr>
        <w:pStyle w:val="Normal"/>
        <w:numPr>
          <w:ilvl w:val="0"/>
          <w:numId w:val="14"/>
        </w:numPr>
        <w:rPr>
          <w:rFonts w:ascii="Times New Roman;Times New Roman" w:hAnsi="Times New Roman;Times New Roman" w:cs="Times New Roman;Times New Roman"/>
        </w:rPr>
      </w:pPr>
      <w:r>
        <w:rPr>
          <w:rFonts w:cs="Times New Roman;Times New Roman" w:ascii="Times New Roman;Times New Roman" w:hAnsi="Times New Roman;Times New Roman"/>
        </w:rPr>
        <w:t>The digital auditorium on the main floor</w:t>
      </w:r>
    </w:p>
    <w:p>
      <w:pPr>
        <w:pStyle w:val="Normal"/>
        <w:numPr>
          <w:ilvl w:val="0"/>
          <w:numId w:val="14"/>
        </w:numPr>
        <w:rPr>
          <w:rFonts w:ascii="Times New Roman;Times New Roman" w:hAnsi="Times New Roman;Times New Roman" w:cs="Times New Roman;Times New Roman"/>
        </w:rPr>
      </w:pPr>
      <w:r>
        <w:rPr>
          <w:rFonts w:cs="Times New Roman;Times New Roman" w:ascii="Times New Roman;Times New Roman" w:hAnsi="Times New Roman;Times New Roman"/>
        </w:rPr>
        <w:t>The forum on the main floor</w:t>
      </w:r>
    </w:p>
    <w:p>
      <w:pPr>
        <w:pStyle w:val="Normal"/>
        <w:numPr>
          <w:ilvl w:val="0"/>
          <w:numId w:val="14"/>
        </w:numPr>
        <w:rPr>
          <w:rFonts w:ascii="Times New Roman;Times New Roman" w:hAnsi="Times New Roman;Times New Roman" w:cs="Times New Roman;Times New Roman"/>
        </w:rPr>
      </w:pPr>
      <w:r>
        <w:rPr>
          <w:rFonts w:cs="Times New Roman;Times New Roman" w:ascii="Times New Roman;Times New Roman" w:hAnsi="Times New Roman;Times New Roman"/>
        </w:rPr>
        <w:t>Rooms 142, 148 and 150</w:t>
      </w:r>
    </w:p>
    <w:p>
      <w:pPr>
        <w:pStyle w:val="Normal"/>
        <w:numPr>
          <w:ilvl w:val="0"/>
          <w:numId w:val="14"/>
        </w:numPr>
        <w:rPr>
          <w:rFonts w:ascii="Times New Roman;Times New Roman" w:hAnsi="Times New Roman;Times New Roman" w:cs="Times New Roman;Times New Roman"/>
        </w:rPr>
      </w:pPr>
      <w:r>
        <w:rPr>
          <w:rFonts w:cs="Times New Roman;Times New Roman" w:ascii="Times New Roman;Times New Roman" w:hAnsi="Times New Roman;Times New Roman"/>
        </w:rPr>
        <w:t>The Hilltop Lounge</w:t>
      </w:r>
    </w:p>
    <w:p>
      <w:pPr>
        <w:pStyle w:val="Normal"/>
        <w:numPr>
          <w:ilvl w:val="0"/>
          <w:numId w:val="14"/>
        </w:numPr>
        <w:rPr>
          <w:rFonts w:ascii="Times New Roman;Times New Roman" w:hAnsi="Times New Roman;Times New Roman" w:cs="Times New Roman;Times New Roman"/>
        </w:rPr>
      </w:pPr>
      <w:r>
        <w:rPr>
          <w:rFonts w:cs="Times New Roman;Times New Roman" w:ascii="Times New Roman;Times New Roman" w:hAnsi="Times New Roman;Times New Roman"/>
        </w:rPr>
        <w:t>The ballrooms (east and west)</w:t>
      </w:r>
    </w:p>
    <w:p>
      <w:pPr>
        <w:pStyle w:val="Normal"/>
        <w:numPr>
          <w:ilvl w:val="0"/>
          <w:numId w:val="14"/>
        </w:numPr>
        <w:rPr>
          <w:rFonts w:ascii="Times New Roman;Times New Roman" w:hAnsi="Times New Roman;Times New Roman" w:cs="Times New Roman;Times New Roman"/>
        </w:rPr>
      </w:pPr>
      <w:r>
        <w:rPr>
          <w:rFonts w:cs="Times New Roman;Times New Roman" w:ascii="Times New Roman;Times New Roman" w:hAnsi="Times New Roman;Times New Roman"/>
        </w:rPr>
        <w:t>The first floor terrace</w:t>
      </w:r>
    </w:p>
    <w:p>
      <w:pPr>
        <w:pStyle w:val="Normal"/>
        <w:numPr>
          <w:ilvl w:val="0"/>
          <w:numId w:val="14"/>
        </w:numPr>
        <w:rPr>
          <w:rFonts w:ascii="Times New Roman;Times New Roman" w:hAnsi="Times New Roman;Times New Roman" w:cs="Times New Roman;Times New Roman"/>
        </w:rPr>
      </w:pPr>
      <w:r>
        <w:rPr>
          <w:rFonts w:cs="Times New Roman;Times New Roman" w:ascii="Times New Roman;Times New Roman" w:hAnsi="Times New Roman;Times New Roman"/>
        </w:rPr>
        <w:t>The Hilltop Terrace</w:t>
      </w:r>
    </w:p>
    <w:p>
      <w:pPr>
        <w:pStyle w:val="Normal"/>
        <w:numPr>
          <w:ilvl w:val="0"/>
          <w:numId w:val="14"/>
        </w:numPr>
        <w:rPr>
          <w:rFonts w:ascii="Times New Roman;Times New Roman" w:hAnsi="Times New Roman;Times New Roman" w:cs="Times New Roman;Times New Roman"/>
        </w:rPr>
      </w:pPr>
      <w:r>
        <w:rPr>
          <w:rFonts w:cs="Times New Roman;Times New Roman" w:ascii="Times New Roman;Times New Roman" w:hAnsi="Times New Roman;Times New Roman"/>
        </w:rPr>
        <w:t>The reading Room</w:t>
      </w:r>
    </w:p>
    <w:p>
      <w:pPr>
        <w:pStyle w:val="Normal"/>
        <w:numPr>
          <w:ilvl w:val="0"/>
          <w:numId w:val="14"/>
        </w:numPr>
        <w:rPr>
          <w:rFonts w:ascii="Times New Roman;Times New Roman" w:hAnsi="Times New Roman;Times New Roman" w:cs="Times New Roman;Times New Roman"/>
        </w:rPr>
      </w:pPr>
      <w:r>
        <w:rPr>
          <w:rFonts w:cs="Times New Roman;Times New Roman" w:ascii="Times New Roman;Times New Roman" w:hAnsi="Times New Roman;Times New Roman"/>
        </w:rPr>
        <w:t>The Gallery Lounge</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Heading1"/>
        <w:ind w:hanging="0" w:start="0"/>
        <w:rPr>
          <w:sz w:val="24"/>
        </w:rPr>
      </w:pPr>
      <w:r>
        <w:rPr/>
        <w:t>EXTERIOR SPACES AND GARDENS</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numPr>
          <w:ilvl w:val="0"/>
          <w:numId w:val="3"/>
        </w:numPr>
        <w:rPr>
          <w:rFonts w:ascii="Times New Roman;Times New Roman" w:hAnsi="Times New Roman;Times New Roman" w:cs="Times New Roman;Times New Roman"/>
        </w:rPr>
      </w:pPr>
      <w:r>
        <w:rPr>
          <w:rFonts w:cs="Times New Roman;Times New Roman" w:ascii="Times New Roman;Times New Roman" w:hAnsi="Times New Roman;Times New Roman"/>
          <w:b/>
          <w:u w:val="single"/>
        </w:rPr>
        <w:t>Lower Quadrangle behind Founder’s Library</w:t>
      </w:r>
    </w:p>
    <w:p>
      <w:pPr>
        <w:pStyle w:val="Normal"/>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BodyTextIndent"/>
        <w:rPr/>
      </w:pPr>
      <w:r>
        <w:rPr/>
        <w:t>The out door area bordered by the rear of Rankin Chapel, Founders Library and the fronts of Thirkield and the other science halls offer an excellent opportunity for establishing an imposing outdoor garden which then may be named for a donor, some preliminary but minor refurbishing, such as upgrading the shrubbery and perhaps adding a pedigree rose, tulip and other seasonal flower gardens and some garden benches, should be undertaken by the University landscaping office to enhance potential donor interest.</w:t>
      </w:r>
    </w:p>
    <w:p>
      <w:pPr>
        <w:pStyle w:val="Normal"/>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numPr>
          <w:ilvl w:val="0"/>
          <w:numId w:val="3"/>
        </w:numPr>
        <w:jc w:val="both"/>
        <w:rPr>
          <w:rFonts w:ascii="Times New Roman;Times New Roman" w:hAnsi="Times New Roman;Times New Roman" w:cs="Times New Roman;Times New Roman"/>
        </w:rPr>
      </w:pPr>
      <w:r>
        <w:rPr>
          <w:rFonts w:cs="Times New Roman;Times New Roman" w:ascii="Times New Roman;Times New Roman" w:hAnsi="Times New Roman;Times New Roman"/>
          <w:b/>
          <w:u w:val="single"/>
        </w:rPr>
        <w:t>Gardens at the East and West Campuses</w:t>
      </w:r>
    </w:p>
    <w:p>
      <w:pPr>
        <w:pStyle w:val="Normal"/>
        <w:ind w:start="72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Many similar opportunities for establishing named gardens exist at both the east and west campuses.  The extensive grounds on the west campus, site of the University Law School, could provide numerous naming opportunities.</w:t>
      </w:r>
    </w:p>
    <w:p>
      <w:pPr>
        <w:pStyle w:val="Normal"/>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Likewise, the expansive and attractive grounds of the east campus, site of the School of Divinity, are such that the choice need not be limited to one garden.  The well-established grounds surrounding the School’s main building provide a setting for gardens that should appeal to potential donors.  Here, again, the University’s architectural service should be employed to maximize the landscaping potential for named gardens at this location.</w:t>
      </w:r>
    </w:p>
    <w:p>
      <w:pPr>
        <w:pStyle w:val="Normal"/>
        <w:ind w:start="108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tab/>
      </w:r>
      <w:r>
        <w:rPr>
          <w:rFonts w:cs="Times New Roman;Times New Roman" w:ascii="Times New Roman;Times New Roman" w:hAnsi="Times New Roman;Times New Roman"/>
          <w:b/>
        </w:rPr>
        <w:t xml:space="preserve">3.  </w:t>
      </w:r>
      <w:r>
        <w:rPr>
          <w:rFonts w:cs="Times New Roman;Times New Roman" w:ascii="Times New Roman;Times New Roman" w:hAnsi="Times New Roman;Times New Roman"/>
          <w:b/>
          <w:u w:val="single"/>
        </w:rPr>
        <w:t>Terrace Roof of the Undergraduate Library</w:t>
      </w:r>
    </w:p>
    <w:p>
      <w:pPr>
        <w:pStyle w:val="Normal"/>
        <w:ind w:start="108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The roof of the undergraduate library provides an optimum location for establishing a terrace-garden that could be named for a donor.  Its location near the center of the main campus is ideal.  University architectural services could design enhancements that would make the site more appealing.</w:t>
      </w:r>
    </w:p>
    <w:p>
      <w:pPr>
        <w:pStyle w:val="Normal"/>
        <w:ind w:start="108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numPr>
          <w:ilvl w:val="0"/>
          <w:numId w:val="7"/>
        </w:numPr>
        <w:jc w:val="both"/>
        <w:rPr>
          <w:rFonts w:ascii="Times New Roman;Times New Roman" w:hAnsi="Times New Roman;Times New Roman" w:cs="Times New Roman;Times New Roman"/>
        </w:rPr>
      </w:pPr>
      <w:r>
        <w:rPr>
          <w:rFonts w:cs="Times New Roman;Times New Roman" w:ascii="Times New Roman;Times New Roman" w:hAnsi="Times New Roman;Times New Roman"/>
          <w:b/>
          <w:u w:val="single"/>
        </w:rPr>
        <w:t>Freedman’s Square</w:t>
      </w:r>
    </w:p>
    <w:p>
      <w:pPr>
        <w:pStyle w:val="Normal"/>
        <w:ind w:start="72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The new building housing the Louis Stokes Health Sciences Library can provide garden space directly across from existing garden space in front of the former Freedman’s Hospital (now the C.B. Powell Building).  These spaces are divided by Bryant Street.  The University could establish one garden in these two spaces or separate gardens in each which could then be offered for naming.  Combining the spaces into one and preserving the name Freedman’s square for the combined garden would lend the space additional historical appeal.  A named garden for this space could then be called, for example, “The Jane Doe Garden at Freedman’s Square.”</w:t>
      </w:r>
    </w:p>
    <w:p>
      <w:pPr>
        <w:pStyle w:val="Normal"/>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tab/>
      </w:r>
      <w:r>
        <w:rPr>
          <w:rFonts w:cs="Times New Roman;Times New Roman" w:ascii="Times New Roman;Times New Roman" w:hAnsi="Times New Roman;Times New Roman"/>
          <w:b/>
        </w:rPr>
        <w:t xml:space="preserve">5.  </w:t>
      </w:r>
      <w:r>
        <w:rPr>
          <w:rFonts w:cs="Times New Roman;Times New Roman" w:ascii="Times New Roman;Times New Roman" w:hAnsi="Times New Roman;Times New Roman"/>
          <w:b/>
          <w:u w:val="single"/>
        </w:rPr>
        <w:t>Health Sciences Plaza Area</w:t>
      </w:r>
    </w:p>
    <w:p>
      <w:pPr>
        <w:pStyle w:val="Normal"/>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This expansive area will provide a significant number of naming opportunities, from bricks or granite tiles to entire sections of the area.</w:t>
      </w:r>
    </w:p>
    <w:p>
      <w:pPr>
        <w:pStyle w:val="Normal"/>
        <w:ind w:start="108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tab/>
      </w:r>
      <w:r>
        <w:rPr>
          <w:rFonts w:cs="Times New Roman;Times New Roman" w:ascii="Times New Roman;Times New Roman" w:hAnsi="Times New Roman;Times New Roman"/>
          <w:b/>
        </w:rPr>
        <w:t xml:space="preserve">6.  </w:t>
      </w:r>
      <w:r>
        <w:rPr>
          <w:rFonts w:cs="Times New Roman;Times New Roman" w:ascii="Times New Roman;Times New Roman" w:hAnsi="Times New Roman;Times New Roman"/>
          <w:b/>
          <w:u w:val="single"/>
        </w:rPr>
        <w:t>The Courtyard at Bethune Annex</w:t>
      </w:r>
    </w:p>
    <w:p>
      <w:pPr>
        <w:pStyle w:val="Normal"/>
        <w:ind w:start="108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A potentially appealing space exists in the courtyard between the old Bethune women’s dormitory and the new Bethune Annex residence hall.  This space could be upgraded and offered for naming.  University architectural/landscaping services would need to provide some refurbishment, in particular an attractive screen to shield the area from equipment and other debris associated with the city’s public works building next door.</w:t>
      </w:r>
    </w:p>
    <w:p>
      <w:pPr>
        <w:pStyle w:val="Normal"/>
        <w:ind w:start="108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tab/>
      </w:r>
      <w:r>
        <w:rPr>
          <w:rFonts w:cs="Times New Roman;Times New Roman" w:ascii="Times New Roman;Times New Roman" w:hAnsi="Times New Roman;Times New Roman"/>
          <w:b/>
        </w:rPr>
        <w:t xml:space="preserve">7.  </w:t>
      </w:r>
      <w:r>
        <w:rPr>
          <w:rFonts w:cs="Times New Roman;Times New Roman" w:ascii="Times New Roman;Times New Roman" w:hAnsi="Times New Roman;Times New Roman"/>
          <w:b/>
          <w:u w:val="single"/>
        </w:rPr>
        <w:t>Gardens at Carnegie</w:t>
      </w:r>
    </w:p>
    <w:p>
      <w:pPr>
        <w:pStyle w:val="Normal"/>
        <w:ind w:start="108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The position at the center of the main campus and proximity to such University landmarks as Rankin Chapel and Founder’s Library make this a prime area for establishing a named garden.  A more formal garden arrangement would be needed to demarcate the area from one in front of Carnegie Hall bearing an Alpha Phi Alpha Fraternity sculpture/marker and apparently claimed by the fraternity.  The option exists to establish separate gardens on either side of the Hall or one garden that would include both areas flanking the structure.</w:t>
      </w:r>
    </w:p>
    <w:p>
      <w:pPr>
        <w:pStyle w:val="Normal"/>
        <w:ind w:start="108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jc w:val="both"/>
        <w:rPr>
          <w:rFonts w:ascii="Times New Roman;Times New Roman" w:hAnsi="Times New Roman;Times New Roman" w:cs="Times New Roman;Times New Roman"/>
        </w:rPr>
      </w:pPr>
      <w:r>
        <w:rPr>
          <w:rFonts w:cs="Times New Roman;Times New Roman" w:ascii="Times New Roman;Times New Roman" w:hAnsi="Times New Roman;Times New Roman"/>
        </w:rPr>
        <w:tab/>
      </w:r>
      <w:r>
        <w:rPr>
          <w:rFonts w:cs="Times New Roman;Times New Roman" w:ascii="Times New Roman;Times New Roman" w:hAnsi="Times New Roman;Times New Roman"/>
          <w:b/>
        </w:rPr>
        <w:t xml:space="preserve">8.  </w:t>
      </w:r>
      <w:r>
        <w:rPr>
          <w:rFonts w:cs="Times New Roman;Times New Roman" w:ascii="Times New Roman;Times New Roman" w:hAnsi="Times New Roman;Times New Roman"/>
          <w:b/>
          <w:u w:val="single"/>
        </w:rPr>
        <w:t>Douglass Plaza</w:t>
      </w:r>
    </w:p>
    <w:p>
      <w:pPr>
        <w:pStyle w:val="Normal"/>
        <w:ind w:start="108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ind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A paved circle in front of Douglass Hall and at the intersection of walkways crossing the quadrangle could be furbished, perhaps enlarged, appropriately appointed and named for a donor.  Because of its proximity to Douglass Hall, it could be called the “Jane Doe Circle at Douglass Plaza.”  This is probably the most well-known and most frequented spot on the entire campus.</w:t>
      </w:r>
    </w:p>
    <w:p>
      <w:pPr>
        <w:pStyle w:val="Normal"/>
        <w:ind w:start="72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ind w:start="72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Heading5"/>
        <w:ind w:hanging="0" w:start="0"/>
        <w:rPr/>
      </w:pPr>
      <w:r>
        <w:rPr/>
        <w:t>Spaces Exterior to the Blackburn Student Union Building</w:t>
      </w:r>
    </w:p>
    <w:p>
      <w:pPr>
        <w:pStyle w:val="Normal"/>
        <w:jc w:val="both"/>
        <w:rPr>
          <w:rFonts w:ascii="Times New Roman;Times New Roman" w:hAnsi="Times New Roman;Times New Roman" w:cs="Times New Roman;Times New Roman"/>
          <w:b/>
          <w:sz w:val="18"/>
        </w:rPr>
      </w:pPr>
      <w:r>
        <w:rPr>
          <w:rFonts w:cs="Times New Roman;Times New Roman" w:ascii="Times New Roman;Times New Roman" w:hAnsi="Times New Roman;Times New Roman"/>
          <w:b/>
          <w:sz w:val="18"/>
        </w:rPr>
      </w:r>
    </w:p>
    <w:p>
      <w:pPr>
        <w:pStyle w:val="Normal"/>
        <w:ind w:start="720" w:end="0"/>
        <w:jc w:val="both"/>
        <w:rPr>
          <w:rFonts w:ascii="Times New Roman;Times New Roman" w:hAnsi="Times New Roman;Times New Roman" w:cs="Times New Roman;Times New Roman"/>
          <w:b/>
          <w:sz w:val="18"/>
        </w:rPr>
      </w:pPr>
      <w:r>
        <w:rPr>
          <w:rFonts w:cs="Times New Roman;Times New Roman" w:ascii="Times New Roman;Times New Roman" w:hAnsi="Times New Roman;Times New Roman"/>
          <w:b/>
          <w:sz w:val="18"/>
        </w:rPr>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b/>
        </w:rPr>
        <w:t xml:space="preserve">1.  </w:t>
      </w:r>
      <w:r>
        <w:rPr>
          <w:rFonts w:cs="Times New Roman;Times New Roman" w:ascii="Times New Roman;Times New Roman" w:hAnsi="Times New Roman;Times New Roman"/>
          <w:b/>
          <w:u w:val="single"/>
        </w:rPr>
        <w:t>Hilltop Terrace</w:t>
      </w:r>
    </w:p>
    <w:p>
      <w:pPr>
        <w:pStyle w:val="Normal"/>
        <w:ind w:start="72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 xml:space="preserve">One of the most prestigious spaces on campus, it is used annually to host the </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President’s commencement luncheon, reunion receptions, as well as corporate events.</w:t>
      </w:r>
    </w:p>
    <w:p>
      <w:pPr>
        <w:pStyle w:val="Normal"/>
        <w:ind w:start="72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ind w:firstLine="720" w:end="0"/>
        <w:jc w:val="both"/>
        <w:rPr>
          <w:rFonts w:ascii="Times New Roman;Times New Roman" w:hAnsi="Times New Roman;Times New Roman" w:cs="Times New Roman;Times New Roman"/>
        </w:rPr>
      </w:pPr>
      <w:r>
        <w:rPr>
          <w:rFonts w:cs="Times New Roman;Times New Roman" w:ascii="Times New Roman;Times New Roman" w:hAnsi="Times New Roman;Times New Roman"/>
          <w:b/>
        </w:rPr>
        <w:t xml:space="preserve">2.  </w:t>
      </w:r>
      <w:r>
        <w:rPr>
          <w:rFonts w:cs="Times New Roman;Times New Roman" w:ascii="Times New Roman;Times New Roman" w:hAnsi="Times New Roman;Times New Roman"/>
          <w:b/>
          <w:u w:val="single"/>
        </w:rPr>
        <w:t>The Rear Terrace</w:t>
      </w:r>
    </w:p>
    <w:p>
      <w:pPr>
        <w:pStyle w:val="Normal"/>
        <w:ind w:start="72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The terrace at the rear of the Blackburn building and just off the faculty-staff dining</w:t>
      </w:r>
    </w:p>
    <w:p>
      <w:pPr>
        <w:pStyle w:val="Normal"/>
        <w:ind w:firstLine="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 xml:space="preserve">room has as its vista a pleasant view of McMillan Lake, it banks and parts of </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 xml:space="preserve">northeast Washington.  The expansive terrace is highly suitable for receptions, parties    </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 xml:space="preserve">and other prestigious social events.  Naming it would create more demand for its use </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and at the same time provide its donor high visibility.</w:t>
      </w:r>
    </w:p>
    <w:p>
      <w:pPr>
        <w:pStyle w:val="Normal"/>
        <w:ind w:start="72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ind w:start="720" w:end="0"/>
        <w:jc w:val="both"/>
        <w:rPr>
          <w:rFonts w:ascii="Times New Roman;Times New Roman" w:hAnsi="Times New Roman;Times New Roman" w:cs="Times New Roman;Times New Roman"/>
          <w:b/>
        </w:rPr>
      </w:pPr>
      <w:r>
        <w:rPr>
          <w:rFonts w:cs="Times New Roman;Times New Roman" w:ascii="Times New Roman;Times New Roman" w:hAnsi="Times New Roman;Times New Roman"/>
          <w:b/>
        </w:rPr>
        <w:t xml:space="preserve">3.  </w:t>
      </w:r>
      <w:r>
        <w:rPr>
          <w:rFonts w:cs="Times New Roman;Times New Roman" w:ascii="Times New Roman;Times New Roman" w:hAnsi="Times New Roman;Times New Roman"/>
          <w:b/>
          <w:u w:val="single"/>
        </w:rPr>
        <w:t>The Ground Floor Garden</w:t>
      </w:r>
    </w:p>
    <w:p>
      <w:pPr>
        <w:pStyle w:val="Normal"/>
        <w:ind w:start="720" w:end="0"/>
        <w:jc w:val="both"/>
        <w:rPr>
          <w:rFonts w:ascii="Times New Roman;Times New Roman" w:hAnsi="Times New Roman;Times New Roman" w:cs="Times New Roman;Times New Roman"/>
          <w:b/>
          <w:sz w:val="18"/>
        </w:rPr>
      </w:pPr>
      <w:r>
        <w:rPr>
          <w:rFonts w:cs="Times New Roman;Times New Roman" w:ascii="Times New Roman;Times New Roman" w:hAnsi="Times New Roman;Times New Roman"/>
          <w:b/>
          <w:sz w:val="18"/>
        </w:rPr>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 xml:space="preserve">Just off  from the student cafeteria on the ground floor of the Blackburn building is an </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 xml:space="preserve">expansive garden that also overlooks northeast Washington.  The addition of </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ornamental trees, shrubs and benches would render it highly suitable for naming.</w:t>
      </w:r>
    </w:p>
    <w:p>
      <w:pPr>
        <w:pStyle w:val="Normal"/>
        <w:ind w:start="72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b/>
        </w:rPr>
        <w:t xml:space="preserve">4.  </w:t>
      </w:r>
      <w:r>
        <w:rPr>
          <w:rFonts w:cs="Times New Roman;Times New Roman" w:ascii="Times New Roman;Times New Roman" w:hAnsi="Times New Roman;Times New Roman"/>
          <w:b/>
          <w:u w:val="single"/>
        </w:rPr>
        <w:t>Greek Letter Occupation of Outdoor Spaces</w:t>
      </w:r>
    </w:p>
    <w:p>
      <w:pPr>
        <w:pStyle w:val="Normal"/>
        <w:ind w:start="720" w:end="0"/>
        <w:jc w:val="both"/>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 xml:space="preserve">A number of Greek Letter organizations occupy prime outdoor spaces.  Among the </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 xml:space="preserve">more notable are the Alpha Phi Alpha space in front of Carnegie Hall, the Alpha </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 xml:space="preserve">Kappa Alpha space on the quadrangle, and the Omega Psi Phi space near Ernest Just </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 xml:space="preserve">Hall. (Just was one of the founders of Omega.)  Since it would appear to be awkward  </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 xml:space="preserve">to attempt to divest these organizations of this space, perhaps it would be useful to ask </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 xml:space="preserve">them to provide a judiciously sized appropriation of these spaces commensurate with </w:t>
      </w:r>
    </w:p>
    <w:p>
      <w:pPr>
        <w:pStyle w:val="Normal"/>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the quality of the space and the going rate for naming it.</w:t>
      </w:r>
    </w:p>
    <w:sectPr>
      <w:type w:val="nextPage"/>
      <w:pgSz w:w="12240" w:h="15840"/>
      <w:pgMar w:left="1440" w:right="144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ll MT">
    <w:altName w:val="Times New Roman"/>
    <w:charset w:val="00" w:characterSet="windows-1252"/>
    <w:family w:val="roman"/>
    <w:pitch w:val="variable"/>
  </w:font>
  <w:font w:name="Times New Roman">
    <w:charset w:val="00" w:characterSet="windows-1252"/>
    <w:family w:val="roman"/>
    <w:pitch w:val="variable"/>
  </w:font>
  <w:font w:name="Lucida Calligraphy">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b/>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decimal"/>
      <w:lvlText w:val="%1."/>
      <w:lvlJc w:val="start"/>
      <w:pPr>
        <w:tabs>
          <w:tab w:val="num" w:pos="1080"/>
        </w:tabs>
        <w:ind w:start="1080" w:hanging="360"/>
      </w:pPr>
      <w:rPr/>
    </w:lvl>
  </w:abstractNum>
  <w:abstractNum w:abstractNumId="7">
    <w:lvl w:ilvl="0">
      <w:start w:val="4"/>
      <w:numFmt w:val="decimal"/>
      <w:lvlText w:val="%1."/>
      <w:lvlJc w:val="start"/>
      <w:pPr>
        <w:tabs>
          <w:tab w:val="num" w:pos="1080"/>
        </w:tabs>
        <w:ind w:start="1080" w:hanging="360"/>
      </w:pPr>
      <w:rPr>
        <w:b/>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1080"/>
        </w:tabs>
        <w:ind w:start="1080" w:hanging="36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1080"/>
        </w:tabs>
        <w:ind w:start="1080" w:hanging="360"/>
      </w:pPr>
      <w:rPr/>
    </w:lvl>
  </w:abstractNum>
  <w:abstractNum w:abstractNumId="15">
    <w:lvl w:ilvl="0">
      <w:start w:val="6"/>
      <w:numFmt w:val="decimal"/>
      <w:lvlText w:val="%1."/>
      <w:lvlJc w:val="start"/>
      <w:pPr>
        <w:tabs>
          <w:tab w:val="num" w:pos="1080"/>
        </w:tabs>
        <w:ind w:start="1080" w:hanging="360"/>
      </w:pPr>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decimal"/>
      <w:lvlText w:val="%1."/>
      <w:lvlJc w:val="start"/>
      <w:pPr>
        <w:tabs>
          <w:tab w:val="num" w:pos="1080"/>
        </w:tabs>
        <w:ind w:start="1080" w:hanging="360"/>
      </w:pPr>
      <w:rPr/>
    </w:lvl>
  </w:abstractNum>
  <w:abstractNum w:abstractNumId="18">
    <w:lvl w:ilvl="0">
      <w:start w:val="12"/>
      <w:numFmt w:val="decimal"/>
      <w:lvlText w:val="%1."/>
      <w:lvlJc w:val="start"/>
      <w:pPr>
        <w:tabs>
          <w:tab w:val="num" w:pos="1080"/>
        </w:tabs>
        <w:ind w:start="1080" w:hanging="360"/>
      </w:pPr>
      <w:rPr/>
    </w:lvl>
  </w:abstractNum>
  <w:abstractNum w:abstractNumId="19">
    <w:lvl w:ilvl="0">
      <w:start w:val="1"/>
      <w:numFmt w:val="decimal"/>
      <w:lvlText w:val="%1."/>
      <w:lvlJc w:val="start"/>
      <w:pPr>
        <w:tabs>
          <w:tab w:val="num" w:pos="1080"/>
        </w:tabs>
        <w:ind w:start="1080" w:hanging="360"/>
      </w:pPr>
      <w:rPr/>
    </w:lvl>
  </w:abstractNum>
  <w:abstractNum w:abstractNumId="20">
    <w:lvl w:ilvl="0">
      <w:start w:val="1"/>
      <w:numFmt w:val="decimal"/>
      <w:lvlText w:val="%1."/>
      <w:lvlJc w:val="start"/>
      <w:pPr>
        <w:tabs>
          <w:tab w:val="num" w:pos="1080"/>
        </w:tabs>
        <w:ind w:start="1080" w:hanging="360"/>
      </w:pPr>
      <w:rPr/>
    </w:lvl>
  </w:abstractNum>
  <w:abstractNum w:abstractNumId="21">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ll MT;Times New Roman" w:hAnsi="Bell MT;Times New Roman" w:eastAsia="Times New Roman;Times New Roman" w:cs="Bell MT;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Times New Roman" w:hAnsi="Times New Roman;Times New Roman" w:cs="Times New Roman;Times New Roman"/>
      <w:b/>
      <w:sz w:val="28"/>
    </w:rPr>
  </w:style>
  <w:style w:type="paragraph" w:styleId="Heading2">
    <w:name w:val="heading 2"/>
    <w:basedOn w:val="Normal"/>
    <w:next w:val="Normal"/>
    <w:qFormat/>
    <w:pPr>
      <w:keepNext w:val="true"/>
      <w:numPr>
        <w:ilvl w:val="1"/>
        <w:numId w:val="1"/>
      </w:numPr>
      <w:outlineLvl w:val="1"/>
    </w:pPr>
    <w:rPr>
      <w:rFonts w:ascii="Times New Roman;Times New Roman" w:hAnsi="Times New Roman;Times New Roman" w:cs="Times New Roman;Times New Roman"/>
      <w:b/>
      <w:u w:val="single"/>
    </w:rPr>
  </w:style>
  <w:style w:type="paragraph" w:styleId="Heading3">
    <w:name w:val="heading 3"/>
    <w:basedOn w:val="Normal"/>
    <w:next w:val="Normal"/>
    <w:qFormat/>
    <w:pPr>
      <w:keepNext w:val="true"/>
      <w:numPr>
        <w:ilvl w:val="2"/>
        <w:numId w:val="1"/>
      </w:numPr>
      <w:ind w:hanging="0" w:start="720" w:end="0"/>
      <w:outlineLvl w:val="2"/>
    </w:pPr>
    <w:rPr>
      <w:rFonts w:ascii="Times New Roman;Times New Roman" w:hAnsi="Times New Roman;Times New Roman" w:cs="Times New Roman;Times New Roman"/>
      <w:b/>
      <w:u w:val="single"/>
    </w:rPr>
  </w:style>
  <w:style w:type="paragraph" w:styleId="Heading4">
    <w:name w:val="heading 4"/>
    <w:basedOn w:val="Normal"/>
    <w:next w:val="Normal"/>
    <w:qFormat/>
    <w:pPr>
      <w:keepNext w:val="true"/>
      <w:numPr>
        <w:ilvl w:val="3"/>
        <w:numId w:val="1"/>
      </w:numPr>
      <w:ind w:hanging="0" w:start="720" w:end="0"/>
      <w:outlineLvl w:val="3"/>
    </w:pPr>
    <w:rPr>
      <w:rFonts w:ascii="Times New Roman;Times New Roman" w:hAnsi="Times New Roman;Times New Roman" w:cs="Times New Roman;Times New Roman"/>
      <w:b/>
    </w:rPr>
  </w:style>
  <w:style w:type="paragraph" w:styleId="Heading5">
    <w:name w:val="heading 5"/>
    <w:basedOn w:val="Normal"/>
    <w:next w:val="Normal"/>
    <w:qFormat/>
    <w:pPr>
      <w:keepNext w:val="true"/>
      <w:numPr>
        <w:ilvl w:val="4"/>
        <w:numId w:val="1"/>
      </w:numPr>
      <w:jc w:val="both"/>
      <w:outlineLvl w:val="4"/>
    </w:pPr>
    <w:rPr>
      <w:rFonts w:ascii="Times New Roman;Times New Roman" w:hAnsi="Times New Roman;Times New Roman" w:cs="Times New Roman;Times New Roman"/>
      <w:b/>
      <w:sz w:val="28"/>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b/>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Times New Roman" w:hAnsi="Times New Roman;Times New Roman" w:cs="Times New Roman;Times New Roman"/>
      <w:b/>
      <w:sz w:val="32"/>
      <w:u w:val="single"/>
    </w:rPr>
  </w:style>
  <w:style w:type="paragraph" w:styleId="BodyText">
    <w:name w:val="Body Text"/>
    <w:basedOn w:val="Normal"/>
    <w:pPr>
      <w:jc w:val="both"/>
    </w:pPr>
    <w:rPr>
      <w:rFonts w:ascii="Times New Roman;Times New Roman" w:hAnsi="Times New Roman;Times New Roman" w:cs="Times New Roman;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rFonts w:ascii="Lucida Calligraphy" w:hAnsi="Lucida Calligraphy" w:cs="Lucida Calligraphy"/>
      <w:b/>
      <w:color w:val="808000"/>
      <w:sz w:val="20"/>
    </w:rPr>
  </w:style>
  <w:style w:type="paragraph" w:styleId="BodyTextIndent">
    <w:name w:val="Body Text Indent"/>
    <w:basedOn w:val="Normal"/>
    <w:pPr>
      <w:ind w:hanging="0" w:start="1080" w:end="0"/>
      <w:jc w:val="both"/>
    </w:pPr>
    <w:rPr>
      <w:rFonts w:ascii="Times New Roman;Times New Roman" w:hAnsi="Times New Roman;Times New Roman" w:cs="Times New Roman;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2001-11-09T13:03:00Z</dcterms:created>
  <dc:creator>bburnett</dc:creator>
  <dc:description/>
  <dc:language>en-CA</dc:language>
  <cp:lastModifiedBy>lblanchard</cp:lastModifiedBy>
  <cp:lastPrinted>2002-01-18T14:05:00Z</cp:lastPrinted>
  <dcterms:modified xsi:type="dcterms:W3CDTF">2002-01-18T17:09:00Z</dcterms:modified>
  <cp:revision>6</cp:revision>
  <dc:subject/>
  <dc:title>Naming Opportunities at Howard University</dc:title>
</cp:coreProperties>
</file>