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West-Wide Price Mitigation Technical Conference</w:t>
      </w:r>
    </w:p>
    <w:p>
      <w:pPr>
        <w:pStyle w:val="Normal"/>
        <w:jc w:val="center"/>
        <w:rPr/>
      </w:pPr>
      <w:r>
        <w:rPr/>
        <w:t>October 29, 2001</w:t>
      </w:r>
    </w:p>
    <w:p>
      <w:pPr>
        <w:pStyle w:val="Normal"/>
        <w:jc w:val="center"/>
        <w:rPr>
          <w:b/>
          <w:sz w:val="28"/>
        </w:rPr>
      </w:pPr>
      <w:r>
        <w:rPr>
          <w:b/>
          <w:sz w:val="28"/>
        </w:rPr>
      </w:r>
    </w:p>
    <w:p>
      <w:pPr>
        <w:pStyle w:val="Heading4"/>
        <w:ind w:hanging="0" w:start="0"/>
        <w:rPr>
          <w:u w:val="none"/>
        </w:rPr>
      </w:pPr>
      <w:r>
        <w:rPr>
          <w:u w:val="none"/>
        </w:rPr>
        <w:t xml:space="preserve">Outline of Comments </w:t>
      </w:r>
    </w:p>
    <w:p>
      <w:pPr>
        <w:pStyle w:val="Heading4"/>
        <w:ind w:hanging="0" w:start="0"/>
        <w:rPr>
          <w:u w:val="none"/>
        </w:rPr>
      </w:pPr>
      <w:r>
        <w:rPr>
          <w:u w:val="none"/>
        </w:rPr>
        <w:t>of Portland General Electric Company</w:t>
      </w:r>
    </w:p>
    <w:p>
      <w:pPr>
        <w:pStyle w:val="Normal"/>
        <w:jc w:val="center"/>
        <w:rPr>
          <w:sz w:val="28"/>
          <w:u w:val="none"/>
        </w:rPr>
      </w:pPr>
      <w:r>
        <w:rPr>
          <w:sz w:val="28"/>
          <w:u w:val="none"/>
        </w:rPr>
      </w:r>
    </w:p>
    <w:p>
      <w:pPr>
        <w:pStyle w:val="Heading3"/>
        <w:ind w:hanging="0" w:start="0"/>
        <w:rPr>
          <w:sz w:val="24"/>
        </w:rPr>
      </w:pPr>
      <w:r>
        <w:rPr>
          <w:sz w:val="24"/>
        </w:rPr>
        <w:t>C.M. Naeve</w:t>
      </w:r>
    </w:p>
    <w:p>
      <w:pPr>
        <w:pStyle w:val="Normal"/>
        <w:jc w:val="center"/>
        <w:rPr/>
      </w:pPr>
      <w:r>
        <w:rPr/>
        <w:t>Skadden, Arps, Slate, Meagher &amp; Flom LLP</w:t>
      </w:r>
    </w:p>
    <w:p>
      <w:pPr>
        <w:pStyle w:val="Normal"/>
        <w:rPr/>
      </w:pPr>
      <w:r>
        <w:rPr/>
      </w:r>
    </w:p>
    <w:p>
      <w:pPr>
        <w:pStyle w:val="Normal"/>
        <w:numPr>
          <w:ilvl w:val="0"/>
          <w:numId w:val="2"/>
        </w:numPr>
        <w:ind w:hanging="1080" w:start="1440" w:end="0"/>
        <w:rPr/>
      </w:pPr>
      <w:r>
        <w:rPr/>
        <w:t xml:space="preserve">Introduction </w:t>
      </w:r>
    </w:p>
    <w:p>
      <w:pPr>
        <w:pStyle w:val="Normal"/>
        <w:ind w:start="360" w:end="0"/>
        <w:rPr/>
      </w:pPr>
      <w:r>
        <w:rPr/>
      </w:r>
    </w:p>
    <w:p>
      <w:pPr>
        <w:pStyle w:val="Normal"/>
        <w:numPr>
          <w:ilvl w:val="1"/>
          <w:numId w:val="2"/>
        </w:numPr>
        <w:ind w:hanging="720" w:start="2160" w:end="0"/>
        <w:rPr/>
      </w:pPr>
      <w:r>
        <w:rPr/>
        <w:t>Portland General Electric Company (“PGE”) offers its comments as a net purchaser of wholesale electricity.  As a load serving entity, PGE purchases resources to serve its retail customers, and sells power into the market primarily when load is less than expected.  Thus, PGE has every incentive to prefer lower prices.</w:t>
      </w:r>
    </w:p>
    <w:p>
      <w:pPr>
        <w:pStyle w:val="Normal"/>
        <w:ind w:start="1440" w:end="0"/>
        <w:rPr/>
      </w:pPr>
      <w:r>
        <w:rPr/>
      </w:r>
    </w:p>
    <w:p>
      <w:pPr>
        <w:pStyle w:val="Normal"/>
        <w:numPr>
          <w:ilvl w:val="1"/>
          <w:numId w:val="2"/>
        </w:numPr>
        <w:ind w:hanging="720" w:start="2160" w:end="0"/>
        <w:rPr/>
      </w:pPr>
      <w:r>
        <w:rPr/>
        <w:t xml:space="preserve">PGE’s main concern in this proceeding, however, is the adequacy of supply in the Pacific Northwest (“PNW”) and throughout the interconnected western markets in both the short term and the long term.  In particular, we  are concerned about the adequacy of supplies available to meet our peak demand this coming winter.  While we are comforted in the short term by the recent statements by the Northwest Power Planning Council, which has changed its forecast to predict that there will be adequate supply this winter due primarily to decreased demand, we remain aware of the possibility that under current regulatory conditions, supplies offered for sale into the PNW will not be adequate to meet peak needs.  A severe and long-lasting cold front (an “arctic express”), coupled with resulting depleted water storage levels, could lead us back into a reserve deficiency situation.  From the events of past years, we must expect the unexpected.  In addition to our apprehension about short-term supply availability, we also are concerned about the effects of both the current price caps and the ever changing regulatory rules on the incentives for developing generation. </w:t>
      </w:r>
    </w:p>
    <w:p>
      <w:pPr>
        <w:pStyle w:val="Normal"/>
        <w:rPr/>
      </w:pPr>
      <w:r>
        <w:rPr/>
      </w:r>
    </w:p>
    <w:p>
      <w:pPr>
        <w:pStyle w:val="Normal"/>
        <w:numPr>
          <w:ilvl w:val="0"/>
          <w:numId w:val="2"/>
        </w:numPr>
        <w:ind w:hanging="1080" w:start="1440" w:end="0"/>
        <w:rPr/>
      </w:pPr>
      <w:r>
        <w:rPr/>
        <w:t xml:space="preserve">The Commission’s existing West-wide mitigation plan should be revised. </w:t>
      </w:r>
    </w:p>
    <w:p>
      <w:pPr>
        <w:pStyle w:val="Normal"/>
        <w:ind w:start="360" w:end="0"/>
        <w:rPr/>
      </w:pPr>
      <w:r>
        <w:rPr/>
      </w:r>
    </w:p>
    <w:p>
      <w:pPr>
        <w:pStyle w:val="Normal"/>
        <w:numPr>
          <w:ilvl w:val="1"/>
          <w:numId w:val="2"/>
        </w:numPr>
        <w:ind w:hanging="720" w:start="2160" w:end="0"/>
        <w:rPr/>
      </w:pPr>
      <w:r>
        <w:rPr/>
        <w:t xml:space="preserve">The current mitigation plan’s main flaw is its reliance on price caps set by conditions in California and the application of those caps to other markets.  </w:t>
      </w:r>
    </w:p>
    <w:p>
      <w:pPr>
        <w:pStyle w:val="Normal"/>
        <w:ind w:start="1440" w:end="0"/>
        <w:rPr/>
      </w:pPr>
      <w:r>
        <w:rPr/>
      </w:r>
    </w:p>
    <w:p>
      <w:pPr>
        <w:pStyle w:val="Normal"/>
        <w:numPr>
          <w:ilvl w:val="2"/>
          <w:numId w:val="2"/>
        </w:numPr>
        <w:ind w:hanging="540" w:start="2880" w:end="0"/>
        <w:rPr/>
      </w:pPr>
      <w:r>
        <w:rPr/>
        <w:t xml:space="preserve">The existing cap is set based on market conditions in California, which is summer-peaking, while the PNW is winter-peaking.  There is no logical connection between prices established for California during its summer peak and the prices needed to sustain supply in the PNW during its winter peak.  </w:t>
      </w:r>
    </w:p>
    <w:p>
      <w:pPr>
        <w:pStyle w:val="Normal"/>
        <w:ind w:start="2340" w:end="0"/>
        <w:rPr/>
      </w:pPr>
      <w:r>
        <w:rPr/>
      </w:r>
    </w:p>
    <w:p>
      <w:pPr>
        <w:pStyle w:val="Normal"/>
        <w:numPr>
          <w:ilvl w:val="2"/>
          <w:numId w:val="2"/>
        </w:numPr>
        <w:ind w:hanging="540" w:start="2880" w:end="0"/>
        <w:rPr/>
      </w:pPr>
      <w:r>
        <w:rPr/>
        <w:t xml:space="preserve">Further, the cap is administered by the California ISO, an entity that is a political body of another State.  The California ISO must place the needs and concerns of California’s ratepayers and voters above those of other participants in western electric markets.  The economic and social welfare of states such as Washington and Oregon should not be controlled by actions of an entity with California interests at heart.  </w:t>
      </w:r>
    </w:p>
    <w:p>
      <w:pPr>
        <w:pStyle w:val="Normal"/>
        <w:rPr/>
      </w:pPr>
      <w:r>
        <w:rPr/>
      </w:r>
    </w:p>
    <w:p>
      <w:pPr>
        <w:pStyle w:val="Normal"/>
        <w:numPr>
          <w:ilvl w:val="1"/>
          <w:numId w:val="2"/>
        </w:numPr>
        <w:ind w:hanging="720" w:start="2160" w:end="0"/>
        <w:rPr/>
      </w:pPr>
      <w:r>
        <w:rPr/>
        <w:t xml:space="preserve">PGE’s core belief is that price caps should be lifted for sales into WSCC markets (with the possible exception of loads within the California ISO control area) during the winter season to allow market signals to attract needed supplies into the region during periods of peak demand.  </w:t>
      </w:r>
    </w:p>
    <w:p>
      <w:pPr>
        <w:pStyle w:val="Normal"/>
        <w:ind w:start="1440" w:end="0"/>
        <w:rPr/>
      </w:pPr>
      <w:r>
        <w:rPr/>
      </w:r>
    </w:p>
    <w:p>
      <w:pPr>
        <w:pStyle w:val="Normal"/>
        <w:numPr>
          <w:ilvl w:val="2"/>
          <w:numId w:val="2"/>
        </w:numPr>
        <w:ind w:hanging="540" w:start="2880" w:end="0"/>
        <w:rPr/>
      </w:pPr>
      <w:r>
        <w:rPr/>
        <w:t xml:space="preserve">As demonstrated in Docket No. EL01-10, the PNW has multiple buyers, multiple sellers, and a variety of market products.  Buyers have a history of making hedged, long-term purchases, and have never been subject to a requirement to rely exclusively on spot markets.  Instead, buyers are able to and do structure balanced portfolios of owned generation, long-term contracts, short-term contracts, spot market contracts, and financial hedges.  Long term capacity is available today at reasonable prices, but resources to meet unanticipated and peak needs may not prudently be obtained in longer term markets.  Rather, such resources must be available in the spot market when they are necessary.  In PGE’s case, these spot purchases should represent a small portion of its total needs and should not have a significant effect on its overall retail rates.  For these reasons, continued price controls in the WSCC outside California are unnecessary and unjustified.  If the Commission elects to lift price controls on sales outside of California, it could retain the ability to re-impose price caps immediately, but prospectively, if it appears that markets are not functioning as expected.  </w:t>
      </w:r>
    </w:p>
    <w:p>
      <w:pPr>
        <w:pStyle w:val="Normal"/>
        <w:ind w:start="2340" w:end="0"/>
        <w:rPr/>
      </w:pPr>
      <w:r>
        <w:rPr/>
      </w:r>
    </w:p>
    <w:p>
      <w:pPr>
        <w:pStyle w:val="Normal"/>
        <w:numPr>
          <w:ilvl w:val="1"/>
          <w:numId w:val="2"/>
        </w:numPr>
        <w:ind w:hanging="720" w:start="2160" w:end="0"/>
        <w:rPr/>
      </w:pPr>
      <w:r>
        <w:rPr/>
        <w:t xml:space="preserve">If, however, the Commission decides to retain price controls over sales into the WSCC, PGE recommends several revisions to the existing plan.  First, if the WSCC outside California reaches a reserve deficiency situation this winter, by definition the mitigated price set based on California’s summer peak is not encouraging sufficient supply in the region.  During periods of reserve deficiency in the WSCC outside California (as determined by the Northwest Power Pool or the Rocky Mountain Power Pool), the cap should be lifted and replaced by a “circuit breaker” similar to those utilized by ERCOT, the NY ISO and PJM.  PGE believes a hard cap of $500 should be sufficient to ensure that adequate supply is available.  </w:t>
      </w:r>
    </w:p>
    <w:p>
      <w:pPr>
        <w:pStyle w:val="Normal"/>
        <w:ind w:start="1440" w:end="0"/>
        <w:rPr/>
      </w:pPr>
      <w:r>
        <w:rPr/>
      </w:r>
    </w:p>
    <w:p>
      <w:pPr>
        <w:pStyle w:val="Normal"/>
        <w:numPr>
          <w:ilvl w:val="1"/>
          <w:numId w:val="2"/>
        </w:numPr>
        <w:ind w:hanging="720" w:start="2160" w:end="0"/>
        <w:rPr/>
      </w:pPr>
      <w:r>
        <w:rPr/>
        <w:t xml:space="preserve">It is equally critical that the rules for wholesale sales into Western markets be simple and not subject to change after the fact.  The Commission should be clear that it will not second-guess the rates charged.  If suppliers believe the existing rules will suddenly change again or that revised rules will be applied retroactively, they simply will not participate in the market.  For example, the availability of hydroelectric supplies for next summer will be uncertain throughout much of the winter.  Consequently, hydro producers will be apprehensive about selling reserves this winter, and will be unwilling to deplete their water supplies if they are uncertain as to the compensation they will receive.  </w:t>
      </w:r>
    </w:p>
    <w:p>
      <w:pPr>
        <w:pStyle w:val="Normal"/>
        <w:rPr/>
      </w:pPr>
      <w:r>
        <w:rPr/>
      </w:r>
    </w:p>
    <w:p>
      <w:pPr>
        <w:pStyle w:val="Normal"/>
        <w:numPr>
          <w:ilvl w:val="2"/>
          <w:numId w:val="2"/>
        </w:numPr>
        <w:ind w:hanging="540" w:start="2880" w:end="0"/>
        <w:rPr/>
      </w:pPr>
      <w:r>
        <w:rPr/>
        <w:t>On a related point, PGE recommends that new generation be exempted from the price caps.  New facilities, particularly peaking units, are needed during cold snaps and peak load hours in years of low rainfall.  Price caps discourage all but baseload generation, which can be more assured of cost recovery than units that run infrequently.  If the Commission fails to exempt new generation, the Commission’s policy will fail to accomplish its main goal – to encourage new sources of supply.</w:t>
      </w:r>
    </w:p>
    <w:p>
      <w:pPr>
        <w:pStyle w:val="Normal"/>
        <w:ind w:start="1440" w:end="0"/>
        <w:rPr/>
      </w:pPr>
      <w:r>
        <w:rPr/>
      </w:r>
    </w:p>
    <w:p>
      <w:pPr>
        <w:pStyle w:val="Normal"/>
        <w:numPr>
          <w:ilvl w:val="1"/>
          <w:numId w:val="2"/>
        </w:numPr>
        <w:ind w:hanging="720" w:start="2160" w:end="0"/>
        <w:rPr/>
      </w:pPr>
      <w:r>
        <w:rPr/>
        <w:t>Finally, the Commission should adopt a “release valve” mechanism similar to the proposal in the Commission’s order scheduling the technical conference, with a slight modification.  When the average gas price increases by five percent above the current level used for calculating the mitigated price, upward adjustment of the mitigated price should track the increase in gas costs.  This will ensure that rising gas prices do not cause the proxy price to be non-compensatory.</w:t>
      </w:r>
    </w:p>
    <w:p>
      <w:pPr>
        <w:pStyle w:val="Normal"/>
        <w:ind w:firstLine="360" w:start="360" w:end="0"/>
        <w:rPr/>
      </w:pPr>
      <w:r>
        <w:rPr/>
      </w:r>
    </w:p>
    <w:p>
      <w:pPr>
        <w:pStyle w:val="BodyTextIndent"/>
        <w:ind w:hanging="0" w:start="360" w:end="0"/>
        <w:rPr/>
      </w:pPr>
      <w:r>
        <w:rPr/>
        <w:t xml:space="preserv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ind w:end="-1440"/>
      <w:rPr/>
    </w:pPr>
    <w:r>
      <w:rPr/>
      <w:t>340354.04-D.C. Server 2A</w:t>
      <w:tab/>
      <w:tab/>
      <w:t>MSW - Draft October 25, 2001 - 5:51 PM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440" w:hanging="360"/>
      </w:pPr>
    </w:lvl>
    <w:lvl w:ilvl="1">
      <w:start w:val="1"/>
      <w:numFmt w:val="lowerLetter"/>
      <w:lvlText w:val="%2."/>
      <w:lvlJc w:val="start"/>
      <w:pPr>
        <w:tabs>
          <w:tab w:val="num" w:pos="720"/>
        </w:tabs>
        <w:ind w:start="2160" w:hanging="360"/>
      </w:pPr>
    </w:lvl>
    <w:lvl w:ilvl="2">
      <w:start w:val="1"/>
      <w:numFmt w:val="lowerRoman"/>
      <w:lvlText w:val="%3."/>
      <w:lvlJc w:val="end"/>
      <w:pPr>
        <w:tabs>
          <w:tab w:val="num" w:pos="72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Cs w:val="20"/>
    </w:rPr>
  </w:style>
  <w:style w:type="paragraph" w:styleId="Heading2">
    <w:name w:val="heading 2"/>
    <w:basedOn w:val="Normal"/>
    <w:next w:val="Normal"/>
    <w:qFormat/>
    <w:pPr>
      <w:keepNext w:val="true"/>
      <w:numPr>
        <w:ilvl w:val="1"/>
        <w:numId w:val="1"/>
      </w:numPr>
      <w:ind w:hanging="0" w:start="360" w:end="0"/>
      <w:outlineLvl w:val="1"/>
    </w:pPr>
    <w:rPr>
      <w:i/>
      <w:iCs/>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jc w:val="center"/>
      <w:outlineLvl w:val="3"/>
    </w:pPr>
    <w:rPr>
      <w:b/>
      <w:bCs/>
      <w:sz w:val="28"/>
      <w:u w:val="single"/>
    </w:rPr>
  </w:style>
  <w:style w:type="paragraph" w:styleId="Heading5">
    <w:name w:val="heading 5"/>
    <w:basedOn w:val="Normal"/>
    <w:next w:val="Normal"/>
    <w:qFormat/>
    <w:pPr>
      <w:keepNext w:val="true"/>
      <w:numPr>
        <w:ilvl w:val="4"/>
        <w:numId w:val="1"/>
      </w:numPr>
      <w:ind w:firstLine="360" w:start="0" w:end="0"/>
      <w:outlineLvl w:val="4"/>
    </w:pPr>
    <w:rPr>
      <w:i/>
      <w:iCs/>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Draftline">
    <w:name w:val="Draftline"/>
    <w:basedOn w:val="DefaultParagraphFont"/>
    <w:qFormat/>
    <w:rPr>
      <w:rFonts w:ascii="Times New Roman" w:hAnsi="Times New Roman" w:cs="Times New Roman"/>
      <w:b w:val="false"/>
      <w:i w:val="false"/>
      <w:caps w:val="false"/>
      <w:smallCaps w:val="false"/>
      <w:strike w:val="false"/>
      <w:dstrike w:val="false"/>
      <w:outline w:val="false"/>
      <w:shadow w:val="false"/>
      <w:emboss/>
      <w:vanish/>
      <w:color w:val="FF0000"/>
      <w:spacing w:val="0"/>
      <w:w w:val="100"/>
      <w:kern w:val="0"/>
      <w:position w:val="0"/>
      <w:sz w:val="15"/>
      <w:sz w:val="15"/>
      <w:u w:val="none"/>
      <w:vertAlign w:val="baseline"/>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pPr>
    <w:rPr/>
  </w:style>
  <w:style w:type="paragraph" w:styleId="FooterB">
    <w:name w:val="Footer B"/>
    <w:qFormat/>
    <w:pPr>
      <w:widowControl/>
      <w:tabs>
        <w:tab w:val="clear" w:pos="720"/>
        <w:tab w:val="center" w:pos="4320" w:leader="none"/>
        <w:tab w:val="right" w:pos="8640" w:leader="none"/>
      </w:tabs>
      <w:bidi w:val="0"/>
    </w:pPr>
    <w:rPr>
      <w:rFonts w:ascii="Times New Roman" w:hAnsi="Times New Roman" w:eastAsia="Times New Roman" w:cs="Times New Roman"/>
      <w:color w:val="auto"/>
      <w:sz w:val="15"/>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2001-10-26T18:57:00Z</dcterms:created>
  <dc:creator>E66482</dc:creator>
  <dc:description/>
  <dc:language>en-CA</dc:language>
  <cp:lastModifiedBy>E66482</cp:lastModifiedBy>
  <cp:lastPrinted>2001-10-25T18:11:00Z</cp:lastPrinted>
  <dcterms:modified xsi:type="dcterms:W3CDTF">2001-10-26T18:57:00Z</dcterms:modified>
  <cp:revision>2</cp:revision>
  <dc:subject/>
  <dc:title>West-Wide Price Mitigation Technical Conference</dc:title>
</cp:coreProperties>
</file>