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# 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Title:</w:t>
      </w:r>
      <w:r>
        <w:rPr>
          <w:rFonts w:cs="Arial" w:ascii="Arial" w:hAnsi="Arial"/>
        </w:rPr>
        <w:tab/>
        <w:t>Equal Employment Environment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Topics:</w:t>
      </w: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Equal Employment Opportunity (EEO)</w:t>
        <w:tab/>
        <w:tab/>
        <w:t>Title VII, ADEA, ADA, IRCA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Affirmative Action Plans (AAP)</w:t>
        <w:tab/>
        <w:tab/>
        <w:tab/>
        <w:t xml:space="preserve">Organizational emphasis 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of Individuals with disabilities</w:t>
        <w:tab/>
        <w:tab/>
        <w:t>Equal Pay Act / Pregnancy Disability Act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Harassment</w:t>
        <w:tab/>
        <w:tab/>
        <w:tab/>
        <w:tab/>
        <w:tab/>
        <w:tab/>
        <w:t>Current as policies # 1,3 &amp; 6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</w:t>
        <w:tab/>
        <w:tab/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 xml:space="preserve">Consolidating the EEO, AAP, Harassment, and ADA issues in one policy communicates a holistic emphasis on employment diversity and managerial obligations.  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>These topics have a commonality under the laws and regulations that apply to employers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>Policy is expressive of the climate and regard that Enron endorses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 xml:space="preserve">Consolidation of topics is pattern in benchmark companies 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rFonts w:cs="Arial" w:ascii="Arial" w:hAnsi="Arial"/>
          <w:u w:val="single"/>
        </w:rPr>
        <w:t>N-Form – Links: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Enron’s EEO Officer</w:t>
        <w:tab/>
        <w:tab/>
        <w:tab/>
        <w:t>Disability</w:t>
        <w:tab/>
        <w:tab/>
        <w:tab/>
        <w:tab/>
        <w:t>Marital status</w:t>
        <w:tab/>
        <w:tab/>
        <w:tab/>
        <w:t>Reporting Concerns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Unlawful Discrimination</w:t>
        <w:tab/>
        <w:tab/>
        <w:tab/>
        <w:t>Race</w:t>
        <w:tab/>
        <w:tab/>
        <w:tab/>
        <w:tab/>
        <w:tab/>
        <w:t>Veteran status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Unlawful Harassment</w:t>
        <w:tab/>
        <w:tab/>
        <w:tab/>
        <w:t>Color</w:t>
        <w:tab/>
        <w:tab/>
        <w:tab/>
        <w:tab/>
        <w:tab/>
        <w:t>Citizenship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ADA accommodation</w:t>
        <w:tab/>
        <w:tab/>
        <w:tab/>
        <w:t>Abusive working environment</w:t>
        <w:tab/>
        <w:t>Reporting Harassment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Essential functions of the job</w:t>
        <w:tab/>
        <w:tab/>
        <w:t>Religion</w:t>
        <w:tab/>
        <w:tab/>
        <w:tab/>
        <w:tab/>
        <w:t>Retaliation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Qualified individual with a disability </w:t>
        <w:tab/>
        <w:t>Sex</w:t>
        <w:tab/>
        <w:tab/>
        <w:tab/>
        <w:tab/>
        <w:tab/>
        <w:t>Company obligations to act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Equal Opportunity</w:t>
        <w:tab/>
        <w:tab/>
        <w:tab/>
        <w:tab/>
        <w:t>Sexual orientation</w:t>
        <w:tab/>
        <w:tab/>
        <w:tab/>
        <w:t>Confidentiality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Affirmative Action </w:t>
        <w:tab/>
        <w:tab/>
        <w:tab/>
        <w:tab/>
        <w:t>National origin</w:t>
        <w:tab/>
        <w:tab/>
        <w:tab/>
        <w:t>Age</w:t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Employee Relations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Fair treatment</w:t>
        <w:tab/>
        <w:tab/>
        <w:tab/>
        <w:tab/>
        <w:tab/>
        <w:tab/>
        <w:t xml:space="preserve">Open Door objectives – communication  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Employee Complaints  </w:t>
        <w:tab/>
        <w:tab/>
        <w:tab/>
        <w:tab/>
        <w:tab/>
        <w:t>Good faith / Fair dealing - NLRA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 / Investigation</w:t>
        <w:tab/>
        <w:tab/>
        <w:tab/>
        <w:tab/>
        <w:t>Title VII, EEOC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Considerations:</w:t>
      </w:r>
      <w:r>
        <w:rPr>
          <w:rFonts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Consolidated topics – organization breadth to Employee Relations 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ENE philosophy and regard for employee complaint and resolution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Enables the non-invasive remedies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Promotes interactive communication, problem intervention, and accountability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Equitable treatment</w:t>
        <w:tab/>
        <w:tab/>
        <w:tab/>
        <w:tab/>
        <w:t>Reporting concerns</w:t>
        <w:tab/>
        <w:tab/>
        <w:tab/>
        <w:tab/>
        <w:t>Employee Relations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disputes</w:t>
        <w:tab/>
        <w:tab/>
        <w:tab/>
        <w:t>Company resources</w:t>
        <w:tab/>
        <w:tab/>
        <w:tab/>
        <w:tab/>
        <w:t>Internal Investigations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</w:t>
        <w:tab/>
        <w:tab/>
        <w:tab/>
        <w:tab/>
        <w:tab/>
        <w:t>Open door environment</w:t>
        <w:tab/>
        <w:tab/>
        <w:tab/>
        <w:t>Privacy</w:t>
        <w:tab/>
        <w:tab/>
        <w:tab/>
        <w:tab/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EEO Officer</w:t>
        <w:tab/>
        <w:tab/>
        <w:tab/>
        <w:tab/>
        <w:tab/>
        <w:t>Enron’s Compliance Officer</w:t>
        <w:tab/>
        <w:tab/>
        <w:t>Confidentiality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Code of Ethics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Performance Expectations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ab/>
        <w:tab/>
        <w:tab/>
        <w:tab/>
        <w:tab/>
        <w:tab/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Performance / Documentation</w:t>
        <w:tab/>
        <w:tab/>
        <w:tab/>
        <w:tab/>
        <w:t>Vision and Values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Performance Expectations</w:t>
        <w:tab/>
        <w:tab/>
        <w:tab/>
        <w:tab/>
        <w:t>Meritocracy, need for communication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Coaching &amp; Counseling</w:t>
        <w:tab/>
        <w:tab/>
        <w:tab/>
        <w:tab/>
        <w:tab/>
        <w:t>Communication of formal discipline</w:t>
      </w:r>
    </w:p>
    <w:p>
      <w:pPr>
        <w:pStyle w:val="Normal"/>
        <w:ind w:start="57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>Consistency of treatment - Policies 9 &amp; 11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Consideration: 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Emphasis on communication; at every level 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Formalizes communication based on expectations, performance outcomes and the consequence of not performing to expected standards.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Emphasizes coaching and counseling (behavioral) relationship to performance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Calibrates discipline as a factor of performance management. Info link will support consistent approach to formal discipline and performance management plans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Emphasizes career and performance as a dynamic.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N-Form Links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PEP</w:t>
        <w:tab/>
        <w:tab/>
        <w:tab/>
        <w:tab/>
        <w:tab/>
        <w:tab/>
        <w:t>Feedback</w:t>
        <w:tab/>
        <w:tab/>
        <w:tab/>
        <w:tab/>
        <w:t>Code of Ethics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Formal written evaluations</w:t>
        <w:tab/>
        <w:tab/>
        <w:tab/>
        <w:t>Coaching</w:t>
        <w:tab/>
        <w:tab/>
        <w:tab/>
        <w:tab/>
        <w:t>Counseling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Corrective discipline</w:t>
        <w:tab/>
        <w:tab/>
        <w:tab/>
        <w:tab/>
        <w:t>Performance</w:t>
        <w:tab/>
        <w:tab/>
        <w:tab/>
        <w:tab/>
        <w:t>Unacceptable conduct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Enron’s Vision &amp; Values</w:t>
        <w:tab/>
        <w:tab/>
        <w:tab/>
        <w:t>Reporting concerns</w:t>
        <w:tab/>
        <w:tab/>
        <w:tab/>
        <w:t>Confidentiality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Employee Relations</w:t>
        <w:tab/>
        <w:tab/>
        <w:tab/>
        <w:tab/>
        <w:t xml:space="preserve">Performance Improvement Plan </w:t>
        <w:tab/>
        <w:t>PIP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Talent Deployment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Recruiting</w:t>
        <w:tab/>
        <w:tab/>
        <w:tab/>
        <w:tab/>
        <w:tab/>
        <w:tab/>
        <w:t>Meritocracy culture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Job Posting</w:t>
        <w:tab/>
        <w:tab/>
        <w:tab/>
        <w:tab/>
        <w:tab/>
        <w:tab/>
        <w:t>ADA, EEO, AAP/OFCCP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Selection- screens / hiring</w:t>
        <w:tab/>
        <w:tab/>
        <w:tab/>
        <w:tab/>
        <w:t>Negligent hire or retention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Applicant designation</w:t>
        <w:tab/>
        <w:tab/>
        <w:tab/>
        <w:tab/>
        <w:tab/>
        <w:t>EEO/AAP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Pre-hire/promotional background checks</w:t>
        <w:tab/>
        <w:tab/>
        <w:t>DFWA – DOT – FCRA-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Employment of Relatives/Household members</w:t>
        <w:tab/>
        <w:t>Conflict of interest - Code of Ethics – Policies 4, 5 &amp; 7</w:t>
      </w:r>
    </w:p>
    <w:p>
      <w:pPr>
        <w:pStyle w:val="Normal"/>
        <w:ind w:start="468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Joint design incorporating; staffing, hire, recruit, screen, selection &amp; job posting 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Communicates an emphasis for opportunity and career development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Considers job listing up to the Director Level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Opportunity to utilize performance indices and experience – View this as talent search, not a bureaucracy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M&amp;A, B/U or Dept re-orgs requirements would be eligible for exception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Posting</w:t>
        <w:tab/>
        <w:tab/>
        <w:tab/>
        <w:t>Exempt position</w:t>
        <w:tab/>
        <w:tab/>
        <w:tab/>
        <w:tab/>
        <w:t>EEO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Applicant</w:t>
        <w:tab/>
        <w:tab/>
        <w:tab/>
        <w:t>Non-exempt position</w:t>
        <w:tab/>
        <w:tab/>
        <w:tab/>
        <w:t>AAP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Candidate</w:t>
        <w:tab/>
        <w:tab/>
        <w:tab/>
        <w:t>Listing available positions</w:t>
        <w:tab/>
        <w:tab/>
        <w:tab/>
        <w:t>Performance Improvement Plan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Employee</w:t>
        <w:tab/>
        <w:tab/>
        <w:tab/>
        <w:t>Conflict of Interest</w:t>
        <w:tab/>
        <w:tab/>
        <w:tab/>
        <w:tab/>
        <w:t>Confidentiality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Code of Ethics</w:t>
        <w:tab/>
        <w:tab/>
        <w:t>Relative or member of Household</w:t>
        <w:tab/>
        <w:tab/>
        <w:t>Eligible for employment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Background check</w:t>
        <w:tab/>
        <w:tab/>
        <w:t>Investigative Consumer Report</w:t>
        <w:tab/>
        <w:tab/>
        <w:t>Drug and Alcohol Screen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Re-deployment</w:t>
        <w:tab/>
        <w:tab/>
        <w:t>Listing available positions</w:t>
        <w:tab/>
        <w:tab/>
        <w:tab/>
        <w:t>Job Requirements</w:t>
        <w:tab/>
        <w:tab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Holidays, Vacation, and Work Schedules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Normal business/work hours</w:t>
        <w:tab/>
        <w:tab/>
        <w:tab/>
        <w:tab/>
        <w:t>Fair Labor Standards Act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Schedules/overtime</w:t>
        <w:tab/>
        <w:tab/>
        <w:tab/>
        <w:tab/>
        <w:tab/>
        <w:t>State &amp; Fed wage/hour laws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Holidays</w:t>
        <w:tab/>
        <w:tab/>
        <w:tab/>
        <w:tab/>
        <w:tab/>
        <w:tab/>
        <w:tab/>
        <w:t>Consistency in employment benefit</w:t>
      </w:r>
    </w:p>
    <w:p>
      <w:pPr>
        <w:pStyle w:val="Normal"/>
        <w:numPr>
          <w:ilvl w:val="0"/>
          <w:numId w:val="9"/>
        </w:numPr>
        <w:rPr>
          <w:rFonts w:ascii="Arial" w:hAnsi="Arial" w:cs="Arial"/>
        </w:rPr>
      </w:pPr>
      <w:r>
        <w:rPr>
          <w:rFonts w:cs="Arial" w:ascii="Arial" w:hAnsi="Arial"/>
        </w:rPr>
        <w:t>Vacation</w:t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Single policy governance for work schedules, office schedules, and individual earned time off.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Distinction for exempt-non exempt, full time, part-time, reduced time, and flex time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Normal business hours, language provides for global &amp; B/U distinctions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Practice guidelines: In Houston,  – (US domestic) hours will be 8 am – 5pm, etc.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Procedure: Specific rules relating to Policy and Practice for overtime, holiday eligibility, vacation, work schedules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Supports enterprise flexibility however provide a default set of rules, schedules, and practices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Provides for the change to the accrual timing of vacation, annual to monthly 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ind w:start="36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Business hours</w:t>
        <w:tab/>
        <w:tab/>
        <w:tab/>
        <w:t>Exempt position</w:t>
        <w:tab/>
        <w:tab/>
        <w:t>Holiday pay</w:t>
        <w:tab/>
        <w:tab/>
        <w:tab/>
        <w:t>Vacation Table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 hours</w:t>
        <w:tab/>
        <w:tab/>
        <w:tab/>
        <w:t>Non-exempt position</w:t>
        <w:tab/>
        <w:t xml:space="preserve">Temporary employee </w:t>
        <w:tab/>
        <w:t>Work Life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Workday</w:t>
        <w:tab/>
        <w:tab/>
        <w:tab/>
        <w:tab/>
        <w:t>Overtime pay</w:t>
        <w:tab/>
        <w:tab/>
        <w:tab/>
        <w:t>Supervisory approval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Workweek</w:t>
        <w:tab/>
        <w:tab/>
        <w:tab/>
        <w:t xml:space="preserve">Fulltime </w:t>
        <w:tab/>
        <w:tab/>
        <w:tab/>
        <w:t>Vacation procedures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 schedule</w:t>
        <w:tab/>
        <w:tab/>
        <w:tab/>
        <w:t>Part-time</w:t>
        <w:tab/>
        <w:tab/>
        <w:tab/>
        <w:t>Reporting concerns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Holiday schedule</w:t>
        <w:tab/>
        <w:tab/>
        <w:t>Flex time</w:t>
        <w:tab/>
        <w:tab/>
        <w:tab/>
        <w:t>Exceptions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Regular employee</w:t>
        <w:tab/>
        <w:tab/>
        <w:t xml:space="preserve">Reduced time </w:t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Time Off and Leaves of Absence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with</w:t>
      </w:r>
      <w:r>
        <w:rPr>
          <w:rFonts w:cs="Arial" w:ascii="Arial" w:hAnsi="Arial"/>
        </w:rPr>
        <w:t xml:space="preserve"> Pay</w:t>
        <w:tab/>
        <w:tab/>
        <w:tab/>
        <w:tab/>
        <w:tab/>
        <w:tab/>
        <w:t>Consistency – equity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Sick pay</w:t>
        <w:tab/>
        <w:tab/>
        <w:tab/>
        <w:tab/>
        <w:tab/>
        <w:tab/>
        <w:t>Public policy consideration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Jury – witness – pay </w:t>
        <w:tab/>
        <w:tab/>
        <w:tab/>
        <w:tab/>
        <w:t>Federal / State Wage &amp; Hour Law</w:t>
        <w:tab/>
        <w:tab/>
        <w:tab/>
        <w:tab/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Bereavement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Adoption paternity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Personal -discretionary</w:t>
      </w:r>
    </w:p>
    <w:p>
      <w:pPr>
        <w:pStyle w:val="Normal"/>
        <w:ind w:start="72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without</w:t>
      </w:r>
      <w:r>
        <w:rPr>
          <w:rFonts w:cs="Arial" w:ascii="Arial" w:hAnsi="Arial"/>
        </w:rPr>
        <w:t xml:space="preserve"> Pay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Family and medical leaves</w:t>
        <w:tab/>
        <w:tab/>
        <w:tab/>
        <w:tab/>
        <w:t>FMLA – State and Federal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Military service –govt. service</w:t>
        <w:tab/>
        <w:tab/>
        <w:tab/>
        <w:t>USERRA, State-Fed Regs.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Personal leave / Public / Civil service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Education continuation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required</w:t>
      </w:r>
      <w:r>
        <w:rPr>
          <w:rFonts w:cs="Arial" w:ascii="Arial" w:hAnsi="Arial"/>
        </w:rPr>
        <w:t xml:space="preserve"> by law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Voting </w:t>
        <w:tab/>
        <w:tab/>
        <w:tab/>
        <w:tab/>
        <w:tab/>
        <w:tab/>
        <w:t>As required by local, state and /or Federal law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Other purposes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Considerations:</w:t>
      </w:r>
      <w:r>
        <w:rPr>
          <w:rFonts w:cs="Arial" w:ascii="Arial" w:hAnsi="Arial"/>
        </w:rPr>
        <w:t xml:space="preserve"> 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Policy and practice will adhere to strict difference between exempt and non-exempt employees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Provides a better opportunity to manage leave under employment contracts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Will formalizes a “termination over time” concept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Supports a changes to sick leave practices, desire to run concurrent with FMLA</w:t>
      </w:r>
    </w:p>
    <w:p>
      <w:pPr>
        <w:pStyle w:val="Normal"/>
        <w:ind w:start="36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Sick leave</w:t>
        <w:tab/>
        <w:tab/>
        <w:tab/>
        <w:t>Notification</w:t>
        <w:tab/>
        <w:tab/>
        <w:tab/>
        <w:t xml:space="preserve">Family Medical Leave (FMLA)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Jury leave</w:t>
        <w:tab/>
        <w:tab/>
        <w:tab/>
        <w:t>Approval procedure</w:t>
        <w:tab/>
        <w:tab/>
        <w:t>Benefits when on leave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Witness leave</w:t>
        <w:tab/>
        <w:tab/>
        <w:t>Documentation</w:t>
        <w:tab/>
        <w:tab/>
        <w:t>Return from approved leave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Voting leave</w:t>
        <w:tab/>
        <w:tab/>
        <w:tab/>
        <w:t>Adoption</w:t>
        <w:tab/>
        <w:tab/>
        <w:tab/>
        <w:t>Re-employment</w:t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Military duty</w:t>
        <w:tab/>
        <w:tab/>
        <w:tab/>
        <w:t>Paternity</w:t>
        <w:tab/>
        <w:tab/>
        <w:tab/>
        <w:t>Medical documentation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Bereavement leave*</w:t>
        <w:tab/>
        <w:t>Reporting Concerns</w:t>
        <w:tab/>
        <w:tab/>
        <w:t>Fitness for return to duty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Recommending strong guidance in determining familial status – I.E. revise criteria to acknowledge the death of Domestic Partner, a custodial parent, member of house hold.   Contemplates allowing manager discretion for use of paid personal leave when funeral leave is not procedurally appropriate.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7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Educational Assistance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Reimbursement for tuition – texts – fees</w:t>
        <w:tab/>
        <w:tab/>
        <w:t xml:space="preserve">Professional/Career development incentive – Performance indices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</w:t>
      </w:r>
      <w:r>
        <w:rPr>
          <w:rFonts w:cs="Arial" w:ascii="Arial" w:hAnsi="Arial"/>
        </w:rPr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Emphasizes policy level commitment to personal and career development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Contemplates a uniform and enterprise wide expectation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Recommends a reimburse of 100% of </w:t>
      </w:r>
      <w:r>
        <w:rPr>
          <w:rFonts w:cs="Arial" w:ascii="Arial" w:hAnsi="Arial"/>
          <w:i/>
          <w:iCs/>
        </w:rPr>
        <w:t>approved tuition, text, &amp; fees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Provide B/U – Mgmt. discretions on what type of course work gets approved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Calibrate within B/U to determine consistency – equity of approvals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Text </w:t>
        <w:tab/>
        <w:tab/>
        <w:tab/>
        <w:tab/>
        <w:t>Job Related Courses</w:t>
        <w:tab/>
        <w:tab/>
        <w:t>Pre Approved Course Work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Tuition</w:t>
        <w:tab/>
        <w:tab/>
        <w:tab/>
        <w:t>Regular full time employees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Fees</w:t>
        <w:tab/>
        <w:tab/>
        <w:tab/>
        <w:tab/>
        <w:t>Regular part-time employees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Approval procedure</w:t>
        <w:tab/>
        <w:tab/>
        <w:t>Reimbursements*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Proof of completion</w:t>
        <w:tab/>
        <w:tab/>
        <w:t>Help getting started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Documentation</w:t>
        <w:tab/>
        <w:tab/>
        <w:t>Required training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*Opportunity to consider reimbursement based on the grade obtained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# 8</w:t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Title:</w:t>
      </w:r>
      <w:r>
        <w:rPr>
          <w:rFonts w:cs="Arial" w:ascii="Arial" w:hAnsi="Arial"/>
        </w:rPr>
        <w:tab/>
        <w:t>Work Environment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Topics:</w:t>
      </w: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Smoking </w:t>
        <w:tab/>
        <w:tab/>
        <w:tab/>
        <w:tab/>
        <w:tab/>
        <w:tab/>
        <w:tab/>
        <w:t>Organizational emphasis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Drugs</w:t>
        <w:tab/>
        <w:tab/>
        <w:tab/>
        <w:tab/>
        <w:tab/>
        <w:tab/>
        <w:tab/>
        <w:t>Local and state regulations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Alcohol </w:t>
        <w:tab/>
        <w:tab/>
        <w:tab/>
        <w:tab/>
        <w:tab/>
        <w:tab/>
        <w:tab/>
        <w:t>Drug Free Workplace Act – DOT ICC Regulation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Violence in the workplace</w:t>
        <w:tab/>
        <w:tab/>
        <w:tab/>
        <w:tab/>
        <w:t>Current Policies 16,17,18, &amp; 22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Consolidation allows Enron to promote / describe a positive work environment while communicating the behavioral expectations in their appropriate context.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Establishes the Business Unit Distinction specific to ETS / PGE regarding the DOT / ICC regulation without creating a separate enterprise wide policy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Contemplates a facility or location relationship to workplace health, safety, and on the job behavior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Unauthorized Drugs, Alcohol, weapons, or paraphernalia</w:t>
        <w:tab/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Violence (acts, threats, conduct)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Smoking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Reporting any situation – (Human Resources, Security, Safety, Compliance Officer)</w:t>
        <w:tab/>
        <w:t>Code of Ethics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Discipline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Employee Relations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DOT Alcohol misuse prevention plan (rev.99)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DOT Anti-Drug plan (rev.99)</w:t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N-Form Policy Project – title, topic, &amp; basis rev1 – July 30, 2001                                                                                 file: RJ/md-prjcts/n-form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8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9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0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1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14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5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Times New Roman" w:hAnsi="Times New Roman" w:eastAsia="Times New Roman" w:cs="Times New Roman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Courier New" w:hAnsi="Courier New" w:cs="Courier New"/>
    </w:rPr>
  </w:style>
  <w:style w:type="character" w:styleId="WW8Num29z1">
    <w:name w:val="WW8Num29z1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2001-07-30T19:13:00Z</dcterms:created>
  <dc:creator>jmatson</dc:creator>
  <dc:description/>
  <dc:language>en-CA</dc:language>
  <cp:lastModifiedBy>rjohnso</cp:lastModifiedBy>
  <cp:lastPrinted>2001-08-22T11:52:00Z</cp:lastPrinted>
  <dcterms:modified xsi:type="dcterms:W3CDTF">2001-08-22T14:22:00Z</dcterms:modified>
  <cp:revision>8</cp:revision>
  <dc:subject/>
  <dc:title>#1</dc:title>
</cp:coreProperties>
</file>