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Todd Neugebauer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Michael Fredell</w:t>
            </w:r>
          </w:p>
        </w:tc>
        <w:tc>
          <w:tcPr>
            <w:tcW w:w="990" w:type="dxa"/>
            <w:tcBorders/>
          </w:tcPr>
          <w:p>
            <w:pPr>
              <w:pStyle w:val="Normal"/>
              <w:ind w:start="-180" w:end="0"/>
              <w:jc w:val="end"/>
              <w:rPr>
                <w:sz w:val="16"/>
              </w:rPr>
            </w:pPr>
            <w:r>
              <w:rPr>
                <w:rFonts w:eastAsia="Arial"/>
                <w:sz w:val="16"/>
              </w:rPr>
              <w:t xml:space="preserve"> </w:t>
            </w:r>
            <w:r>
              <w:rPr>
                <w:sz w:val="16"/>
              </w:rPr>
              <w:t>Department:</w:t>
            </w:r>
          </w:p>
        </w:tc>
        <w:tc>
          <w:tcPr>
            <w:tcW w:w="2965" w:type="dxa"/>
            <w:tcBorders/>
          </w:tcPr>
          <w:p>
            <w:pPr>
              <w:pStyle w:val="Department"/>
              <w:rPr/>
            </w:pPr>
            <w:bookmarkStart w:id="0" w:name="From"/>
            <w:bookmarkEnd w:id="0"/>
            <w:r>
              <w:rPr/>
              <w:t xml:space="preserve">ENA - Multistate Tax Services </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New York Taxes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January 24, 2000</w:t>
            </w:r>
          </w:p>
        </w:tc>
      </w:tr>
    </w:tbl>
    <w:p>
      <w:pPr>
        <w:pStyle w:val="Body"/>
        <w:rPr/>
      </w:pPr>
      <w:r>
        <w:rPr/>
      </w:r>
      <w:bookmarkStart w:id="1" w:name="StartOfMemo"/>
      <w:bookmarkStart w:id="2" w:name="StartOfMemo"/>
      <w:bookmarkEnd w:id="2"/>
    </w:p>
    <w:p>
      <w:pPr>
        <w:pStyle w:val="Body"/>
        <w:numPr>
          <w:ilvl w:val="0"/>
          <w:numId w:val="2"/>
        </w:numPr>
        <w:rPr>
          <w:b/>
        </w:rPr>
      </w:pPr>
      <w:r>
        <w:rPr>
          <w:b/>
        </w:rPr>
        <w:t>Introduction</w:t>
      </w:r>
    </w:p>
    <w:p>
      <w:pPr>
        <w:pStyle w:val="Body"/>
        <w:rPr>
          <w:b/>
        </w:rPr>
      </w:pPr>
      <w:r>
        <w:rPr>
          <w:b/>
        </w:rPr>
      </w:r>
    </w:p>
    <w:p>
      <w:pPr>
        <w:pStyle w:val="Body"/>
        <w:rPr/>
      </w:pPr>
      <w:r>
        <w:rPr/>
        <w:t xml:space="preserve">You recently requested that we advise you regarding the state tax consequences arising from Enron North America Corp. (“ENA”) owning and operating two turbines in Long Island, New York; and, the subsequent sale of power.   </w:t>
      </w:r>
    </w:p>
    <w:p>
      <w:pPr>
        <w:pStyle w:val="Body"/>
        <w:rPr/>
      </w:pPr>
      <w:r>
        <w:rPr/>
      </w:r>
    </w:p>
    <w:p>
      <w:pPr>
        <w:pStyle w:val="Body"/>
        <w:rPr>
          <w:b/>
        </w:rPr>
      </w:pPr>
      <w:r>
        <w:rPr>
          <w:b/>
          <w:u w:val="single"/>
        </w:rPr>
        <w:t>Short Answer:</w:t>
      </w:r>
      <w:r>
        <w:rPr/>
        <w:t xml:space="preserve">  All equipment, fuel and other consumables used directly in the production of power, as well as equipment used for pollution control purposes, will be exempt from sales and use tax. </w:t>
      </w:r>
      <w:r>
        <w:rPr>
          <w:b/>
        </w:rPr>
        <w:t xml:space="preserve">Note, exemptions on these items may be lost if ENA enters into a tolling arrangement.  </w:t>
      </w:r>
      <w:r>
        <w:rPr/>
        <w:t xml:space="preserve">All other equipment or supplies purchased, by ENA will be subject to a 8.5% sales and use tax.  </w:t>
      </w:r>
    </w:p>
    <w:p>
      <w:pPr>
        <w:pStyle w:val="Body"/>
        <w:rPr>
          <w:b/>
          <w:u w:val="single"/>
        </w:rPr>
      </w:pPr>
      <w:r>
        <w:rPr>
          <w:b/>
          <w:u w:val="single"/>
        </w:rPr>
      </w:r>
    </w:p>
    <w:p>
      <w:pPr>
        <w:pStyle w:val="Body"/>
        <w:rPr/>
      </w:pPr>
      <w:r>
        <w:rPr/>
        <w:t xml:space="preserve">ENA will be subject to the higher of an effective 9.36% tax (8.775% after June of 2001) on net income; or, .20826 % of business and investment capital.  Business capital is defined as all assets less short-term liabilities (payable on demand or within one year from the date incurred).  Investment capital is defined as investments in stocks, bonds and other securities issued by any corporation (other than the taxpayer or a subsidiary) or by any government entity.        </w:t>
      </w:r>
    </w:p>
    <w:p>
      <w:pPr>
        <w:pStyle w:val="Body"/>
        <w:rPr>
          <w:b/>
          <w:u w:val="single"/>
        </w:rPr>
      </w:pPr>
      <w:r>
        <w:rPr>
          <w:b/>
          <w:u w:val="single"/>
        </w:rPr>
      </w:r>
    </w:p>
    <w:p>
      <w:pPr>
        <w:pStyle w:val="Body"/>
        <w:numPr>
          <w:ilvl w:val="0"/>
          <w:numId w:val="2"/>
        </w:numPr>
        <w:rPr/>
      </w:pPr>
      <w:r>
        <w:rPr>
          <w:b/>
        </w:rPr>
        <w:t>Facts</w:t>
      </w:r>
      <w:r>
        <w:rPr/>
        <w:t xml:space="preserve"> </w:t>
      </w:r>
    </w:p>
    <w:p>
      <w:pPr>
        <w:pStyle w:val="Body"/>
        <w:rPr/>
      </w:pPr>
      <w:r>
        <w:rPr/>
      </w:r>
    </w:p>
    <w:p>
      <w:pPr>
        <w:pStyle w:val="Body"/>
        <w:rPr/>
      </w:pPr>
      <w:r>
        <w:rPr/>
        <w:t xml:space="preserve">As we understand the facts, ENA is contemplating attaching two turbines, housed on floating barges, to Long Island Power Authority’s (“LIPA”) Plant.  At such time as the turbines become operational, ENA will sell electricity to LIPA.          </w:t>
      </w:r>
    </w:p>
    <w:p>
      <w:pPr>
        <w:pStyle w:val="Body"/>
        <w:rPr/>
      </w:pPr>
      <w:r>
        <w:rPr/>
      </w:r>
    </w:p>
    <w:p>
      <w:pPr>
        <w:pStyle w:val="Department"/>
        <w:numPr>
          <w:ilvl w:val="0"/>
          <w:numId w:val="2"/>
        </w:numPr>
        <w:rPr>
          <w:b/>
          <w:color w:val="000080"/>
        </w:rPr>
      </w:pPr>
      <w:r>
        <w:rPr>
          <w:b/>
          <w:color w:val="000080"/>
        </w:rPr>
        <w:t>Law and Discussion</w:t>
      </w:r>
    </w:p>
    <w:p>
      <w:pPr>
        <w:pStyle w:val="Department"/>
        <w:ind w:start="72" w:end="0"/>
        <w:rPr>
          <w:b/>
          <w:color w:val="000080"/>
        </w:rPr>
      </w:pPr>
      <w:r>
        <w:rPr>
          <w:b/>
          <w:color w:val="000080"/>
        </w:rPr>
      </w:r>
    </w:p>
    <w:p>
      <w:pPr>
        <w:pStyle w:val="Department"/>
        <w:rPr>
          <w:color w:val="000080"/>
          <w:u w:val="single"/>
        </w:rPr>
      </w:pPr>
      <w:r>
        <w:rPr>
          <w:color w:val="000080"/>
          <w:u w:val="single"/>
        </w:rPr>
        <w:t>Sales &amp; Use Tax</w:t>
      </w:r>
    </w:p>
    <w:p>
      <w:pPr>
        <w:pStyle w:val="Department"/>
        <w:rPr/>
      </w:pPr>
      <w:r>
        <w:rPr>
          <w:color w:val="000080"/>
        </w:rPr>
        <w:t>New York imposes a 4.0% sales and use tax upon the sale or use of tangible personal property.  The County of Nassau imposes a 4.5% tax.  Consequently, the effective tax rate is 8.5%.  Machines and equipment, and consumables directly used in the production of power are exempt from sales and use tax.  In addition, equipment primarily used for pollution control purposes is exempt.  Production is considered to begin at the point where raw materials are transferred to the actual processing operation (from storage or stockpiles at the Plant) and is considered to have ended when the product is ready for sale</w:t>
      </w:r>
      <w:r>
        <w:rPr>
          <w:rStyle w:val="FootnoteCharacters"/>
          <w:rStyle w:val="FootnoteReference"/>
          <w:color w:val="000080"/>
        </w:rPr>
        <w:footnoteReference w:id="2"/>
      </w:r>
      <w:r>
        <w:rPr>
          <w:color w:val="000080"/>
        </w:rPr>
        <w:t xml:space="preserve">.  Note, if ENA were to enter into a tolling arrangement with LIPA they would not be producing power for sale.  Consequently, ENA would not qualify for the manufacturing exemption.  All other machinery and equipment will be subject to sales &amp; use tax. </w:t>
      </w:r>
    </w:p>
    <w:p>
      <w:pPr>
        <w:pStyle w:val="Department"/>
        <w:rPr>
          <w:color w:val="000080"/>
        </w:rPr>
      </w:pPr>
      <w:r>
        <w:rPr>
          <w:color w:val="000080"/>
        </w:rPr>
      </w:r>
    </w:p>
    <w:p>
      <w:pPr>
        <w:pStyle w:val="Department"/>
        <w:rPr>
          <w:color w:val="000080"/>
        </w:rPr>
      </w:pPr>
      <w:r>
        <w:rPr>
          <w:color w:val="000080"/>
        </w:rPr>
        <w:t xml:space="preserve">Materials and machinery used in construction will be subject to sales and use tax.  Consequently, for all assets built under contract, by third party construction contractors, the responsibility for all sales and use taxes on materials and supplies, purchased and used in construction, should be assigned in writing to the contractors.                 </w:t>
      </w:r>
    </w:p>
    <w:p>
      <w:pPr>
        <w:pStyle w:val="Department"/>
        <w:rPr>
          <w:color w:val="000080"/>
        </w:rPr>
      </w:pPr>
      <w:r>
        <w:rPr>
          <w:color w:val="000080"/>
        </w:rPr>
      </w:r>
      <w:r>
        <w:br w:type="page"/>
      </w:r>
    </w:p>
    <w:p>
      <w:pPr>
        <w:pStyle w:val="Department"/>
        <w:rPr>
          <w:color w:val="000080"/>
        </w:rPr>
      </w:pPr>
      <w:r>
        <w:rPr>
          <w:color w:val="000080"/>
        </w:rPr>
      </w:r>
    </w:p>
    <w:p>
      <w:pPr>
        <w:pStyle w:val="Department"/>
        <w:rPr>
          <w:color w:val="000080"/>
        </w:rPr>
      </w:pPr>
      <w:r>
        <w:rPr>
          <w:color w:val="000080"/>
        </w:rPr>
      </w:r>
    </w:p>
    <w:p>
      <w:pPr>
        <w:pStyle w:val="Department"/>
        <w:rPr>
          <w:color w:val="000080"/>
          <w:u w:val="single"/>
        </w:rPr>
      </w:pPr>
      <w:r>
        <w:rPr>
          <w:color w:val="000080"/>
        </w:rPr>
        <w:t xml:space="preserve">So long as ENA sells electricity to a wholesaler, such as LIPA, for resale to third parties, these sales will be exempt from sales and use tax as sale for resale.  Please note, the resale exemption requires that ENA obtain a properly completed exemption certificate from LIPA.  </w:t>
      </w:r>
    </w:p>
    <w:p>
      <w:pPr>
        <w:pStyle w:val="Department"/>
        <w:rPr>
          <w:color w:val="000080"/>
          <w:u w:val="single"/>
        </w:rPr>
      </w:pPr>
      <w:r>
        <w:rPr>
          <w:color w:val="000080"/>
          <w:u w:val="single"/>
        </w:rPr>
      </w:r>
    </w:p>
    <w:p>
      <w:pPr>
        <w:pStyle w:val="Department"/>
        <w:rPr>
          <w:color w:val="000080"/>
          <w:u w:val="single"/>
        </w:rPr>
      </w:pPr>
      <w:r>
        <w:rPr>
          <w:color w:val="000080"/>
          <w:u w:val="single"/>
        </w:rPr>
        <w:t>Income &amp; Franchise Tax</w:t>
      </w:r>
    </w:p>
    <w:p>
      <w:pPr>
        <w:pStyle w:val="Body"/>
        <w:ind w:start="0" w:end="0"/>
        <w:rPr/>
      </w:pPr>
      <w:r>
        <w:rPr/>
        <w:t xml:space="preserve">ENA will be subject to both the New York State Income/Franchise Tax as well as a Metropolitan Commuter Transportation District surcharge. ENA will pay the higher of an effective 9.36% tax (8.775% after June of 2001) on net income or .20826% business and investment capital.  Business capital is defined as all assets less short-term liabilities (payable on demand or within one year from the date incurred).  Investment capital is defined as investments in stocks, bonds and other securities issued by any corporation (other than the taxpayer or a subsidiary) or by any government entity.           </w:t>
      </w:r>
    </w:p>
    <w:p>
      <w:pPr>
        <w:pStyle w:val="Department"/>
        <w:rPr>
          <w:color w:val="000080"/>
        </w:rPr>
      </w:pPr>
      <w:r>
        <w:rPr>
          <w:color w:val="000080"/>
        </w:rPr>
      </w:r>
    </w:p>
    <w:p>
      <w:pPr>
        <w:pStyle w:val="Department"/>
        <w:rPr>
          <w:color w:val="000080"/>
        </w:rPr>
      </w:pPr>
      <w:r>
        <w:rPr>
          <w:color w:val="000080"/>
          <w:u w:val="single"/>
        </w:rPr>
        <w:t>Utility Taxes</w:t>
      </w:r>
    </w:p>
    <w:p>
      <w:pPr>
        <w:pStyle w:val="Department"/>
        <w:rPr>
          <w:color w:val="000080"/>
        </w:rPr>
      </w:pPr>
      <w:r>
        <w:rPr>
          <w:color w:val="000080"/>
        </w:rPr>
        <w:t xml:space="preserve">Since ENA will not be principally engaged in the conduct of a transportation or transmission business, ENA will not be subject to New York utility taxes or fees.  Note, although ENA will be primarily in the business of transmitting power in Long Island, ENA as a whole, is not primarily in the business of transmitting power.   </w:t>
      </w:r>
    </w:p>
    <w:p>
      <w:pPr>
        <w:pStyle w:val="Department"/>
        <w:rPr>
          <w:color w:val="000080"/>
          <w:u w:val="single"/>
        </w:rPr>
      </w:pPr>
      <w:r>
        <w:rPr>
          <w:color w:val="000080"/>
          <w:u w:val="single"/>
        </w:rPr>
      </w:r>
    </w:p>
    <w:p>
      <w:pPr>
        <w:pStyle w:val="Department"/>
        <w:rPr>
          <w:color w:val="000080"/>
          <w:u w:val="single"/>
        </w:rPr>
      </w:pPr>
      <w:r>
        <w:rPr>
          <w:color w:val="000080"/>
          <w:u w:val="single"/>
        </w:rPr>
      </w:r>
    </w:p>
    <w:p>
      <w:pPr>
        <w:pStyle w:val="Department"/>
        <w:rPr>
          <w:color w:val="000080"/>
        </w:rPr>
      </w:pPr>
      <w:r>
        <w:rPr>
          <w:color w:val="000080"/>
        </w:rPr>
        <w:t>Please call (x36174) if I can be of further assistance.</w:t>
      </w:r>
    </w:p>
    <w:p>
      <w:pPr>
        <w:pStyle w:val="Department"/>
        <w:rPr>
          <w:color w:val="000080"/>
        </w:rPr>
      </w:pPr>
      <w:r>
        <w:rPr>
          <w:color w:val="000080"/>
        </w:rPr>
      </w:r>
    </w:p>
    <w:p>
      <w:pPr>
        <w:pStyle w:val="Department"/>
        <w:rPr>
          <w:color w:val="000080"/>
        </w:rPr>
      </w:pPr>
      <w:r>
        <w:rPr>
          <w:color w:val="000080"/>
        </w:rPr>
        <w:t>CC: Jordan Mintz</w:t>
      </w:r>
    </w:p>
    <w:p>
      <w:pPr>
        <w:pStyle w:val="Department"/>
        <w:rPr>
          <w:color w:val="000080"/>
        </w:rPr>
      </w:pPr>
      <w:r>
        <w:rPr>
          <w:rFonts w:eastAsia="Arial"/>
          <w:color w:val="000080"/>
        </w:rPr>
        <w:t xml:space="preserve">      </w:t>
      </w:r>
      <w:r>
        <w:rPr>
          <w:color w:val="000080"/>
        </w:rPr>
        <w:t>Michael Fredell</w:t>
      </w:r>
    </w:p>
    <w:p>
      <w:pPr>
        <w:pStyle w:val="Department"/>
        <w:rPr>
          <w:color w:val="000080"/>
        </w:rPr>
      </w:pPr>
      <w:r>
        <w:rPr>
          <w:rFonts w:eastAsia="Arial"/>
          <w:color w:val="000080"/>
        </w:rPr>
        <w:t xml:space="preserve">      </w:t>
      </w:r>
      <w:r>
        <w:rPr>
          <w:color w:val="000080"/>
        </w:rPr>
        <w:t>Sandra Hrna</w:t>
      </w:r>
    </w:p>
    <w:p>
      <w:pPr>
        <w:pStyle w:val="Department"/>
        <w:rPr>
          <w:color w:val="000080"/>
        </w:rPr>
      </w:pPr>
      <w:r>
        <w:rPr>
          <w:rFonts w:eastAsia="Arial"/>
          <w:color w:val="000080"/>
        </w:rPr>
        <w:t xml:space="preserve">      </w:t>
      </w:r>
      <w:r>
        <w:rPr>
          <w:color w:val="000080"/>
        </w:rPr>
        <w:t>Matthew Gockerman</w:t>
      </w:r>
    </w:p>
    <w:p>
      <w:pPr>
        <w:pStyle w:val="Department"/>
        <w:rPr>
          <w:color w:val="000080"/>
        </w:rPr>
      </w:pPr>
      <w:r>
        <w:rPr>
          <w:rFonts w:eastAsia="Arial"/>
          <w:color w:val="000080"/>
        </w:rPr>
        <w:t xml:space="preserve">      </w:t>
      </w:r>
      <w:r>
        <w:rPr>
          <w:color w:val="000080"/>
        </w:rPr>
        <w:t>Rhett Jackson</w:t>
      </w:r>
    </w:p>
    <w:p>
      <w:pPr>
        <w:pStyle w:val="Department"/>
        <w:rPr>
          <w:color w:val="000080"/>
        </w:rPr>
      </w:pPr>
      <w:r>
        <w:rPr>
          <w:color w:val="000080"/>
        </w:rPr>
      </w:r>
    </w:p>
    <w:p>
      <w:pPr>
        <w:pStyle w:val="Department"/>
        <w:rPr>
          <w:color w:val="000080"/>
        </w:rPr>
      </w:pPr>
      <w:r>
        <w:rPr>
          <w:color w:val="000080"/>
        </w:rPr>
      </w:r>
    </w:p>
    <w:p>
      <w:pPr>
        <w:pStyle w:val="Department"/>
        <w:rPr>
          <w:color w:val="000080"/>
          <w:u w:val="single"/>
        </w:rPr>
      </w:pPr>
      <w:r>
        <w:rPr>
          <w:color w:val="000080"/>
          <w:u w:val="single"/>
        </w:rPr>
      </w:r>
    </w:p>
    <w:p>
      <w:pPr>
        <w:pStyle w:val="Department"/>
        <w:rPr>
          <w:color w:val="000080"/>
          <w:u w:val="single"/>
        </w:rPr>
      </w:pPr>
      <w:r>
        <w:rPr>
          <w:color w:val="000080"/>
          <w:u w:val="single"/>
        </w:rPr>
      </w:r>
    </w:p>
    <w:p>
      <w:pPr>
        <w:pStyle w:val="Department"/>
        <w:rPr>
          <w:color w:val="000080"/>
          <w:u w:val="single"/>
        </w:rPr>
      </w:pPr>
      <w:r>
        <w:rPr>
          <w:color w:val="000080"/>
          <w:u w:val="single"/>
        </w:rPr>
      </w:r>
    </w:p>
    <w:p>
      <w:pPr>
        <w:pStyle w:val="Department"/>
        <w:rPr>
          <w:color w:val="000080"/>
          <w:u w:val="single"/>
        </w:rPr>
      </w:pPr>
      <w:r>
        <w:rPr>
          <w:color w:val="000080"/>
          <w:u w:val="single"/>
        </w:rPr>
      </w:r>
    </w:p>
    <w:p>
      <w:pPr>
        <w:pStyle w:val="Department"/>
        <w:rPr>
          <w:color w:val="000080"/>
          <w:u w:val="single"/>
        </w:rPr>
      </w:pPr>
      <w:r>
        <w:rPr>
          <w:color w:val="000080"/>
          <w:u w:val="single"/>
        </w:rPr>
      </w:r>
    </w:p>
    <w:p>
      <w:pPr>
        <w:pStyle w:val="Department"/>
        <w:rPr>
          <w:color w:val="000080"/>
        </w:rPr>
      </w:pPr>
      <w:r>
        <w:rPr>
          <w:color w:val="000080"/>
        </w:rPr>
      </w:r>
    </w:p>
    <w:sectPr>
      <w:headerReference w:type="default" r:id="rId3"/>
      <w:headerReference w:type="first" r:id="rId4"/>
      <w:footerReference w:type="default" r:id="rId5"/>
      <w:footerReference w:type="first" r:id="rId6"/>
      <w:footnotePr>
        <w:numFmt w:val="decimal"/>
      </w:footnotePr>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Please note that this definition is necessarily broad.  Please feel free to contact me to discuss specific issues as they arise.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20"/>
                            </w:rPr>
                          </w:pPr>
                          <w:r>
                            <w:rPr>
                              <w:b/>
                              <w:sz w:val="20"/>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20"/>
                      </w:rPr>
                    </w:pPr>
                    <w:r>
                      <w:rPr>
                        <w:b/>
                        <w:sz w:val="20"/>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
      <w:lvlJc w:val="start"/>
      <w:pPr>
        <w:tabs>
          <w:tab w:val="num" w:pos="360"/>
        </w:tabs>
        <w:ind w:start="432" w:hanging="360"/>
      </w:pPr>
      <w:rPr>
        <w:sz w:val="20"/>
        <w:i w:val="false"/>
        <w:u w:val="none"/>
        <w:b/>
        <w:rFonts w:ascii="Arial" w:hAnsi="Arial" w:cs="Arial"/>
        <w:color w:val="00008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2z0">
    <w:name w:val="WW8Num2z0"/>
    <w:qFormat/>
    <w:rPr>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none"/>
    </w:rPr>
  </w:style>
  <w:style w:type="character" w:styleId="WW8Num9z0">
    <w:name w:val="WW8Num9z0"/>
    <w:qFormat/>
    <w:rPr/>
  </w:style>
  <w:style w:type="character" w:styleId="WW8Num10z0">
    <w:name w:val="WW8Num10z0"/>
    <w:qFormat/>
    <w:rPr/>
  </w:style>
  <w:style w:type="character" w:styleId="WW8Num11z0">
    <w:name w:val="WW8Num11z0"/>
    <w:qFormat/>
    <w:rPr>
      <w:u w:val="single"/>
    </w:rPr>
  </w:style>
  <w:style w:type="character" w:styleId="WW8Num12z0">
    <w:name w:val="WW8Num12z0"/>
    <w:qFormat/>
    <w:rPr>
      <w:rFonts w:ascii="Arial" w:hAnsi="Arial" w:cs="Arial"/>
      <w:b/>
      <w:i w:val="false"/>
      <w:color w:val="000080"/>
      <w:sz w:val="20"/>
      <w:u w:val="none"/>
    </w:rPr>
  </w:style>
  <w:style w:type="character" w:styleId="WW8Num13z0">
    <w:name w:val="WW8Num13z0"/>
    <w:qFormat/>
    <w:rPr/>
  </w:style>
  <w:style w:type="character" w:styleId="WW8Num14z0">
    <w:name w:val="WW8Num14z0"/>
    <w:qFormat/>
    <w:rPr>
      <w:rFonts w:ascii="Arial" w:hAnsi="Arial" w:cs="Arial"/>
      <w:b w:val="false"/>
      <w:i w:val="false"/>
      <w:color w:val="000080"/>
      <w:sz w:val="20"/>
      <w:u w:val="none"/>
    </w:rPr>
  </w:style>
  <w:style w:type="character" w:styleId="WW8NumSt3z0">
    <w:name w:val="WW8NumSt3z0"/>
    <w:qFormat/>
    <w:rPr>
      <w:rFonts w:ascii="Arial" w:hAnsi="Arial" w:cs="Arial"/>
      <w:b w:val="false"/>
      <w:i w:val="false"/>
      <w:color w:val="000080"/>
      <w:sz w:val="20"/>
      <w:u w:val="none"/>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2000-01-24T21:04:00Z</dcterms:created>
  <dc:creator>appinst</dc:creator>
  <dc:description/>
  <dc:language>en-CA</dc:language>
  <cp:lastModifiedBy>pmaloy</cp:lastModifiedBy>
  <cp:lastPrinted>2000-01-25T17:56:00Z</cp:lastPrinted>
  <dcterms:modified xsi:type="dcterms:W3CDTF">2000-01-25T21:31:00Z</dcterms:modified>
  <cp:revision>31</cp:revision>
  <dc:subject/>
  <dc:title>Eron Capital &amp; Trade Resources Memo</dc:title>
</cp:coreProperties>
</file>