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sz w:val="24"/>
        </w:rPr>
      </w:pPr>
      <w:bookmarkStart w:id="0" w:name="Title"/>
      <w:bookmarkEnd w:id="0"/>
      <w:r>
        <w:rPr>
          <w:sz w:val="24"/>
        </w:rPr>
        <w:t>Interoffice Memo</w:t>
      </w:r>
    </w:p>
    <w:p>
      <w:pPr>
        <w:pStyle w:val="MessageHeaderFirst"/>
        <w:rPr/>
      </w:pPr>
      <w:bookmarkStart w:id="1" w:name="Title"/>
      <w:bookmarkEnd w:id="1"/>
      <w:r>
        <w:rPr>
          <w:rStyle w:val="MessageHeaderLabel"/>
          <w:sz w:val="24"/>
        </w:rPr>
        <w:t>Date:</w:t>
        <w:tab/>
      </w:r>
      <w:r>
        <w:rPr>
          <w:sz w:val="24"/>
        </w:rPr>
        <w:t>March 7, 2001</w:t>
      </w:r>
    </w:p>
    <w:p>
      <w:pPr>
        <w:pStyle w:val="MessageHeader"/>
        <w:rPr/>
      </w:pPr>
      <w:r>
        <w:rPr>
          <w:rStyle w:val="MessageHeaderLabel"/>
          <w:sz w:val="24"/>
        </w:rPr>
        <w:t>To:</w:t>
        <w:tab/>
      </w:r>
      <w:r>
        <w:rPr>
          <w:sz w:val="24"/>
        </w:rPr>
        <w:t>Dave Delainey</w:t>
      </w:r>
    </w:p>
    <w:p>
      <w:pPr>
        <w:pStyle w:val="MessageHeader"/>
        <w:rPr/>
      </w:pPr>
      <w:r>
        <w:rPr>
          <w:rStyle w:val="MessageHeaderLabel"/>
          <w:sz w:val="24"/>
        </w:rPr>
        <w:t>Cc:</w:t>
        <w:tab/>
      </w:r>
      <w:r>
        <w:rPr>
          <w:rStyle w:val="MessageHeaderLabel"/>
          <w:b w:val="false"/>
          <w:bCs/>
          <w:sz w:val="24"/>
        </w:rPr>
        <w:t>Steve Kean</w:t>
      </w:r>
      <w:r>
        <w:rPr>
          <w:sz w:val="24"/>
        </w:rPr>
        <w:t>, Rick Shapiro, Jim Steffes, Steve Montovano</w:t>
      </w:r>
    </w:p>
    <w:p>
      <w:pPr>
        <w:pStyle w:val="MessageHeader"/>
        <w:rPr/>
      </w:pPr>
      <w:r>
        <w:rPr>
          <w:rStyle w:val="MessageHeaderLabel"/>
          <w:sz w:val="24"/>
        </w:rPr>
        <w:t>From:</w:t>
        <w:tab/>
      </w:r>
      <w:r>
        <w:rPr>
          <w:sz w:val="24"/>
        </w:rPr>
        <w:t>Howard Fromer, KATHLEEN Sullivan &amp; Sarah Novosel</w:t>
      </w:r>
    </w:p>
    <w:p>
      <w:pPr>
        <w:pStyle w:val="MessageHeaderLast"/>
        <w:rPr>
          <w:rFonts w:ascii="Tms Rmn;Times New Roman" w:hAnsi="Tms Rmn;Times New Roman" w:cs="Tms Rmn;Times New Roman"/>
          <w:sz w:val="24"/>
          <w:szCs w:val="24"/>
        </w:rPr>
      </w:pPr>
      <w:r>
        <w:rPr>
          <w:rStyle w:val="MessageHeaderLabel"/>
          <w:sz w:val="24"/>
        </w:rPr>
        <w:t>RE:</w:t>
        <w:tab/>
      </w:r>
      <w:r>
        <w:rPr>
          <w:sz w:val="24"/>
        </w:rPr>
        <w:t>NY Regulatory Update</w:t>
      </w:r>
    </w:p>
    <w:p>
      <w:pPr>
        <w:pStyle w:val="Heading6"/>
        <w:rPr>
          <w:rFonts w:ascii="Garamond" w:hAnsi="Garamond" w:cs="Garamond"/>
          <w:b/>
          <w:bCs/>
          <w:sz w:val="24"/>
        </w:rPr>
      </w:pPr>
      <w:r>
        <w:rPr>
          <w:rFonts w:cs="Garamond" w:ascii="Garamond" w:hAnsi="Garamond"/>
          <w:b/>
          <w:bCs/>
          <w:sz w:val="24"/>
        </w:rPr>
        <w:t xml:space="preserve">EXECUTIVE SUMMARY </w:t>
      </w:r>
    </w:p>
    <w:p>
      <w:pPr>
        <w:pStyle w:val="Normal"/>
        <w:autoSpaceDE w:val="false"/>
        <w:spacing w:lineRule="atLeast" w:line="240"/>
        <w:ind w:start="72" w:end="0"/>
        <w:rPr>
          <w:rFonts w:ascii="Garamond" w:hAnsi="Garamond" w:cs="Arial"/>
          <w:b/>
          <w:bCs/>
          <w:color w:val="000000"/>
          <w:sz w:val="24"/>
          <w:u w:val="single"/>
        </w:rPr>
      </w:pPr>
      <w:r>
        <w:rPr>
          <w:rFonts w:cs="Arial"/>
          <w:b/>
          <w:bCs/>
          <w:color w:val="000000"/>
          <w:sz w:val="24"/>
          <w:u w:val="single"/>
        </w:rPr>
      </w:r>
    </w:p>
    <w:p>
      <w:pPr>
        <w:pStyle w:val="Normal"/>
        <w:autoSpaceDE w:val="false"/>
        <w:spacing w:lineRule="atLeast" w:line="240"/>
        <w:ind w:start="72" w:end="0"/>
        <w:rPr/>
      </w:pPr>
      <w:r>
        <w:rPr>
          <w:rFonts w:cs="Arial"/>
          <w:color w:val="000000"/>
          <w:sz w:val="24"/>
        </w:rPr>
        <w:t>New York was one of the earliest States to embrace electric retail competition, although it has done so without the benefit of any legislation.</w:t>
      </w:r>
      <w:r>
        <w:rPr>
          <w:rStyle w:val="FootnoteCharacters"/>
          <w:rStyle w:val="FootnoteReference"/>
          <w:rFonts w:cs="Arial"/>
          <w:color w:val="000000"/>
          <w:sz w:val="24"/>
        </w:rPr>
        <w:footnoteReference w:id="2"/>
      </w:r>
      <w:r>
        <w:rPr>
          <w:color w:val="000000"/>
          <w:sz w:val="24"/>
        </w:rPr>
        <w:t xml:space="preserve"> </w:t>
      </w:r>
      <w:r>
        <w:rPr>
          <w:rFonts w:cs="Arial"/>
          <w:color w:val="000000"/>
          <w:sz w:val="24"/>
        </w:rPr>
        <w:t>Instead, the NYPSC has used its administrative powers under existing law to push the competitive agenda, starting with its landmark Order in 1996 directing the investor owned utilities in the state to come forward with restructuring plans. At the same time, the utilities were directed to implement a competitive wholesale market, and this led to the creation of the NYISO, which went live in November 1999, as the successor to the former New York Power Pool, which had operated the state’s grid and bulk power market since the 1970s</w:t>
      </w:r>
      <w:r>
        <w:rPr>
          <w:rStyle w:val="FootnoteCharacters"/>
          <w:rStyle w:val="FootnoteReference"/>
          <w:rFonts w:cs="Arial"/>
          <w:color w:val="000000"/>
          <w:sz w:val="24"/>
        </w:rPr>
        <w:footnoteReference w:id="3"/>
      </w:r>
      <w:r>
        <w:rPr>
          <w:rFonts w:cs="Arial"/>
          <w:color w:val="000000"/>
          <w:sz w:val="24"/>
        </w:rPr>
        <w:t xml:space="preserve">.  In response to the 1996 Order, the utilities eventually entered into comprehensive multi-year settlements that contained individually negotiated retail access phase-in schedules (now virtually all complete), shopping credits (in NY, these are referred to as “back-out” rates, since the credit is the amount that is subtracted, or backed out, from the customer’s bundled rate if the customer physically buys commodity from a competitor), and a requirement to divest virtually all fossil generation. (Fossil plant divestiture is essentially complete, and resulted in huge gains for the utilities over book value, most of which is being returned to customers as offsets to other stranded costs or reductions in distribution rates. Further, even the nuclear facilities are being divested, and they too are bringing in far more than had been originally contemplated by the PSC.)  </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The wholesale markets have been plagued with problems since their startup. Numerous complaints and protests have been filed at FERC by marketers (including Enron), generators and the utilities regarding various market design flaws. The ISO has responded to these problems by adopting a number of Emergency Corrective Actions, and ultimately bid caps for certain ancillary markets (specifically the 10 minute non-spin market) and for the energy markets ($1,000.00 per MWH). FERC was finally forced to address these concerns and held a two-day Technical Conference in late January, at which Enron was an active participant. A staff report to FERC is due imminently. Most recently, the ISO announced that it had adopted a “circuit breaker” proposal that would go into effect this summer, in an effort to, in their words, mitigate day-ahead prices that reflect the exercise of market power during periods when the market is not workably competitive.</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Retail access has also been largely unsuccessful to date, in large part because the back-out credits were set too low (often below wholesale prices) and denied competitors a chance to recover their commodity and other costs of doing business. However, the PSC has begun to address many of these problems. Two years ago, it adopted uniform business rules in an effort to simplify the process of signing up customers in the state. It has also issued orders making billing and metering services competitive, and directed that the back-out credits for these services be set on the basis of the utility’s long-run avoided costs. Proceedings are underway to determine the actual back-out credits. The PSC has also ordered that EDI be implemented in New York, and an ongoing proceeding to establish these requirements is nearing completion. Further, the PSC last year initiated a proceeding to examine the “end state” of competition, including critical issues such as what should be the future role of regulated utilities in a competitive world (i.e., should they exit the merchant function) and should the provider of last resort function be made competitive, and when and how. In all of these matters, Enron was in the lead in pushing their consideration by the Commission, and later, through a coalition we helped form (NESPA), in participating in the proceedings established by the PSC.  Finally, the PSC has recently approved or initiated proceedings to consider extensions of the initial restructuring settlements with the utilities. A summary of the status of these various proceedings is included in this memorandum.</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pPr>
      <w:r>
        <w:rPr>
          <w:rFonts w:cs="Arial"/>
          <w:color w:val="000000"/>
          <w:sz w:val="24"/>
        </w:rPr>
        <w:t xml:space="preserve">In conclusion,  New York is likely to experience price spikes this summer during peak demand periods.  While less likely, New York may encounter reliability problems similar to those experienced in California. New York does have more reserves relative to demand, and has put in place a number of demand response programs and obtained some emergency generation. With respect to prices, at least in upstate NY, the PSC has insulated most customers from market prices through rate caps. The exception is in NYC, where Con Ed is allowed to flow through market prices. Con Ed is the most important of the utility players politically, and they have been getting tremendous support from both the State and NYC administrations for the adoption of various market intervention mechanisms to protect customers from price volatility this summer. The coalition Enron is forming will thus be extremely important in educating these officials, as well as influential private entities that public officials will no doubt reach out in order to gauge reactions, when the inevitable price spikes hit. The important political players include Governor Pataki, NYC Mayor </w:t>
      </w:r>
      <w:r>
        <w:rPr>
          <w:sz w:val="24"/>
          <w:szCs w:val="36"/>
        </w:rPr>
        <w:t>Giuliani, US Senators Schumer and Clinton, State Senator Jim Wright and State Assemblyman Paul Tonko.</w:t>
      </w:r>
      <w:r>
        <w:rPr>
          <w:rFonts w:cs="Arial"/>
          <w:color w:val="000000"/>
          <w:sz w:val="24"/>
        </w:rPr>
        <w:t xml:space="preserve"> These individuals must respond by asking, among other things,  “why didn’t Con Ed hedge months ago and protect us from these prices” rather than by calling on the regulators to step in and cap prices.  </w:t>
      </w:r>
      <w:r>
        <w:rPr>
          <w:sz w:val="24"/>
        </w:rPr>
        <w:t xml:space="preserve">Accordingly, we will be working </w:t>
      </w:r>
      <w:r>
        <w:rPr>
          <w:sz w:val="24"/>
          <w:szCs w:val="32"/>
        </w:rPr>
        <w:t>in NY to isolate the fallout from California, to promote competitive markets, increase risk management by load serving entities and improve public perceptions.</w:t>
      </w:r>
      <w:r>
        <w:br w:type="page"/>
      </w:r>
    </w:p>
    <w:p>
      <w:pPr>
        <w:pStyle w:val="Normal"/>
        <w:autoSpaceDE w:val="false"/>
        <w:spacing w:lineRule="atLeast" w:line="240"/>
        <w:ind w:start="72" w:end="0"/>
        <w:rPr>
          <w:rFonts w:cs="Arial"/>
          <w:color w:val="000000"/>
          <w:sz w:val="24"/>
          <w:szCs w:val="32"/>
        </w:rPr>
      </w:pPr>
      <w:r>
        <w:rPr>
          <w:rFonts w:cs="Arial"/>
          <w:color w:val="000000"/>
          <w:sz w:val="24"/>
          <w:szCs w:val="32"/>
        </w:rPr>
      </w:r>
    </w:p>
    <w:p>
      <w:pPr>
        <w:pStyle w:val="Normal"/>
        <w:autoSpaceDE w:val="false"/>
        <w:spacing w:lineRule="atLeast" w:line="240"/>
        <w:ind w:start="72" w:end="0"/>
        <w:jc w:val="center"/>
        <w:rPr>
          <w:rFonts w:cs="Arial"/>
          <w:b/>
          <w:bCs/>
          <w:color w:val="000000"/>
          <w:sz w:val="28"/>
        </w:rPr>
      </w:pPr>
      <w:r>
        <w:rPr>
          <w:rFonts w:cs="Arial"/>
          <w:b/>
          <w:bCs/>
          <w:color w:val="000000"/>
          <w:sz w:val="28"/>
        </w:rPr>
        <w:t>WHOLESALE MARKET</w:t>
      </w:r>
    </w:p>
    <w:p>
      <w:pPr>
        <w:pStyle w:val="Normal"/>
        <w:autoSpaceDE w:val="false"/>
        <w:spacing w:lineRule="atLeast" w:line="240"/>
        <w:ind w:start="72" w:end="0"/>
        <w:jc w:val="center"/>
        <w:rPr>
          <w:rFonts w:cs="Arial"/>
          <w:b/>
          <w:bCs/>
          <w:color w:val="000000"/>
          <w:sz w:val="28"/>
        </w:rPr>
      </w:pPr>
      <w:r>
        <w:rPr>
          <w:rFonts w:cs="Arial"/>
          <w:b/>
          <w:bCs/>
          <w:color w:val="000000"/>
          <w:sz w:val="28"/>
        </w:rPr>
      </w:r>
    </w:p>
    <w:p>
      <w:pPr>
        <w:pStyle w:val="Heading7"/>
        <w:ind w:hanging="0" w:start="0"/>
        <w:rPr/>
      </w:pPr>
      <w:r>
        <w:rPr>
          <w:rPrChange w:id="0" w:author="Unknown" w:date="0-00-00T00:00:00Z"/>
        </w:rPr>
        <w:t>Capacity Shortages</w:t>
        <w:rPrChange w:id="0" w:author="Unknown" w:date="2001-03-07T11:26:00Z"/>
      </w:r>
    </w:p>
    <w:p>
      <w:pPr>
        <w:pStyle w:val="Normal"/>
        <w:rPr>
          <w:sz w:val="24"/>
        </w:rPr>
      </w:pPr>
      <w:r>
        <w:rPr>
          <w:sz w:val="24"/>
        </w:rPr>
      </w:r>
    </w:p>
    <w:p>
      <w:pPr>
        <w:pStyle w:val="Normal"/>
        <w:autoSpaceDE w:val="false"/>
        <w:spacing w:lineRule="atLeast" w:line="240"/>
        <w:rPr>
          <w:rFonts w:cs="Arial"/>
          <w:color w:val="000000"/>
          <w:sz w:val="24"/>
        </w:rPr>
      </w:pPr>
      <w:r>
        <w:rPr>
          <w:rFonts w:cs="Arial"/>
          <w:color w:val="000000"/>
          <w:sz w:val="24"/>
        </w:rPr>
        <w:t>New York has a statewide installed reserve requirement that is set annually. For 2001, it was again set at 118% of the forecast coincident peak load of 30,620 MW, for a total requirement of 36,132 MW. NY expects to have available 36,042 MW this summer, NOT including 2,453 MW of imports that can count as installed capacity (ICAP). Thus, from a statewide perspective, there should be a healthy surplus of supply. However for NYC and Long Island, the situation is much tighter. Because of limitations on the ability to import power to NYC and Long Island, these regions have had locational ICAP requirements. For 2001, these were just set at 80% of the NYC peak load, and 98% of the Long Island peak load. NYC appears to be a few hundred MW short of meeting the 80% requirement (10,535 peak load; 8,428 = 80%; 8,132 = existing capacity), although as discussed below, a number of actions are being taken to address this shortage for this summer. Long Island appears to be very close to meeting its requirement (4,733 peak load; 4,638 = 98%; 4,507 = existing capacity).</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Clearly, the downstate region of New York faces a very tight supply situation this summer. This has both the regulators (ISO and the PSC) and the politicians (Governor and the Mayor of NYC) extremely concerned about price spikes and blackouts during peak demand periods. Last summer, despite temperatures well below normal, prices rose on the order of 40% in NYC, leading to a huge outcry from the public and Con Edison.</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In response to last summer’s price runups and the various market problems being experienced, the ISO’s independent market advisor, Dr. David Patton, conducted a study to examine the causes. With respect to price runups, Dr. Patton concluded that they were principally the result of record fuel price increases and the loss of Con Edison’s 1,000 MW Indian Point 2 nuclear facility for most of the year. He found no evidence of market power being exercised that would explain the price runups. He did recommend, however, that a circuit breaker be adopted to mitigate prices during the relatively few periods of high demand when the market might not be workably competitive. As previously noted, such a proposal was approved in February by the ISO board which does not believe that FERC approval is required.  The ISO does intend, however, to make an informal filing this month which Enron will be protesting.  We believe the ISO board sees the circuit breaker as a political necessity to get the NY administration off their backs and prevent a price blowup this summer in NYC, where market prices are passed through to all customers.</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pPr>
      <w:r>
        <w:rPr>
          <w:rFonts w:cs="Arial"/>
          <w:color w:val="000000"/>
          <w:sz w:val="24"/>
        </w:rPr>
        <w:t>The PSC also conducted its own investigation. In December, it issued a blistering report highly critical of the ISO’s administration of the wholesale markets, and recommended a series of market intervention devices to protect customers from price volatility, which they suggested (but deep in their report are careful to say they could not yet document) were the result of market manipulation by the generators. Among the market intervention mechanisms they recommended were $150 soft price caps (emphatically rejected by the NYISO), retroactive price adjustment authority for the ISO (ISO is no longer pushing this, and the proposal was just rejected by the Management Committee on March 1), extension of in-city price mitigation currently applicable to just the former Con Ed units to all generation in NYC (ISO opposes)</w:t>
      </w:r>
      <w:r>
        <w:rPr>
          <w:rStyle w:val="FootnoteCharacters"/>
          <w:rStyle w:val="FootnoteReference"/>
          <w:rFonts w:cs="Arial"/>
          <w:color w:val="000000"/>
          <w:sz w:val="24"/>
        </w:rPr>
        <w:footnoteReference w:id="4"/>
      </w:r>
      <w:r>
        <w:rPr>
          <w:rFonts w:cs="Arial"/>
          <w:color w:val="000000"/>
          <w:sz w:val="24"/>
        </w:rPr>
        <w:t xml:space="preserve">, extension of the current $1,000 bid caps and the ISO’s Temporary Extraordinary Power authority (18 month extension to 10/31/2002 just approved by the Management Committee on March 1), and the adoption of a circuit breaker mechanism that would be triggered at bidding levels far lower than what the ISO had been discussing and what appears to have been adopted by the ISO Board. The report brought into the open the tremendous tension that exists between the PSC and the ISO about who should be in charge of the NY wholesale markets and what should be done during a transition period while market problems are fixed and new supplies are added. There are obvious political concerns here, since the Governor is up for re-election in November 2002 and energy deregulation is certain to be a major campaign issue (see political update below) </w:t>
      </w:r>
    </w:p>
    <w:p>
      <w:pPr>
        <w:pStyle w:val="Normal"/>
        <w:autoSpaceDE w:val="false"/>
        <w:spacing w:lineRule="atLeast" w:line="240"/>
        <w:ind w:start="72" w:end="0"/>
        <w:rPr>
          <w:rFonts w:cs="Arial"/>
          <w:color w:val="000000"/>
          <w:sz w:val="24"/>
        </w:rPr>
      </w:pPr>
      <w:r>
        <w:rPr>
          <w:rFonts w:cs="Arial"/>
          <w:color w:val="000000"/>
          <w:sz w:val="24"/>
        </w:rPr>
      </w:r>
    </w:p>
    <w:p>
      <w:pPr>
        <w:pStyle w:val="Heading8"/>
        <w:rPr/>
      </w:pPr>
      <w:r>
        <w:rPr>
          <w:rPrChange w:id="0" w:author="Unknown" w:date="0-00-00T00:00:00Z"/>
        </w:rPr>
        <w:t>Preparation for Summer 2001</w:t>
      </w:r>
    </w:p>
    <w:p>
      <w:pPr>
        <w:pStyle w:val="Normal"/>
        <w:autoSpaceDE w:val="false"/>
        <w:spacing w:lineRule="atLeast" w:line="240"/>
        <w:ind w:start="72" w:end="0"/>
        <w:rPr>
          <w:rFonts w:cs="Arial"/>
          <w:color w:val="000000"/>
          <w:sz w:val="24"/>
          <w:u w:val="single"/>
        </w:rPr>
      </w:pPr>
      <w:r>
        <w:rPr>
          <w:rFonts w:cs="Arial"/>
          <w:color w:val="000000"/>
          <w:sz w:val="24"/>
          <w:u w:val="single"/>
        </w:rPr>
      </w:r>
    </w:p>
    <w:p>
      <w:pPr>
        <w:pStyle w:val="Normal"/>
        <w:autoSpaceDE w:val="false"/>
        <w:spacing w:lineRule="atLeast" w:line="240"/>
        <w:ind w:start="72" w:end="0"/>
        <w:rPr>
          <w:rFonts w:cs="Arial"/>
          <w:color w:val="000000"/>
          <w:sz w:val="24"/>
        </w:rPr>
      </w:pPr>
      <w:r>
        <w:rPr>
          <w:rFonts w:cs="Arial"/>
          <w:color w:val="000000"/>
          <w:sz w:val="24"/>
        </w:rPr>
        <w:t xml:space="preserve">In recognition of the tight supply situation anticipated this summer, a number of actions have been taken by the ISO and New York State. At the urging of the Governor, last fall the New York Power Authority announced that it had purchased and would be installing 11 small (40+MW) gas turbines at various sites throughout the City. Permits have been received, construction has begun, and it appears that at least 300 MW of this generation should be installed and operational by June. </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ascii="Arial" w:hAnsi="Arial" w:cs="Arial"/>
          <w:color w:val="000000"/>
          <w:sz w:val="24"/>
        </w:rPr>
      </w:pPr>
      <w:r>
        <w:rPr>
          <w:rFonts w:cs="Arial"/>
          <w:color w:val="000000"/>
          <w:sz w:val="24"/>
        </w:rPr>
        <w:t xml:space="preserve">A number of demand response programs have also been approved by the ISO, that should result in at least 100 to 200 MW of decreased demand on the grid in the City (either due to curtailments or the use of back-up generators). Details of the demand response programs approved by the ISO include: </w:t>
      </w:r>
    </w:p>
    <w:p>
      <w:pPr>
        <w:pStyle w:val="Normal"/>
        <w:autoSpaceDE w:val="false"/>
        <w:spacing w:lineRule="atLeast" w:line="240"/>
        <w:rPr>
          <w:rFonts w:ascii="Arial" w:hAnsi="Arial" w:cs="Arial"/>
          <w:color w:val="000000"/>
          <w:sz w:val="24"/>
        </w:rPr>
      </w:pPr>
      <w:r>
        <w:rPr>
          <w:rFonts w:cs="Arial" w:ascii="Arial" w:hAnsi="Arial"/>
          <w:color w:val="000000"/>
          <w:sz w:val="24"/>
        </w:rPr>
      </w:r>
    </w:p>
    <w:p>
      <w:pPr>
        <w:pStyle w:val="Normal"/>
        <w:numPr>
          <w:ilvl w:val="0"/>
          <w:numId w:val="4"/>
        </w:numPr>
        <w:autoSpaceDE w:val="false"/>
        <w:spacing w:lineRule="atLeast" w:line="240"/>
        <w:rPr>
          <w:color w:val="000000"/>
          <w:sz w:val="24"/>
        </w:rPr>
      </w:pPr>
      <w:r>
        <w:rPr>
          <w:color w:val="000000"/>
          <w:sz w:val="24"/>
        </w:rPr>
        <w:t>An Emergency Demand Reduction Program (EDRP) that will allow those who curtail load for at least four hours on 24-hour notice to be paid the HIGHER of the locational wholesale market price or $500/MWh. Curtailable loads backed by inside the fence generation are eligible to participate.</w:t>
      </w:r>
    </w:p>
    <w:p>
      <w:pPr>
        <w:pStyle w:val="Normal"/>
        <w:autoSpaceDE w:val="false"/>
        <w:spacing w:lineRule="atLeast" w:line="240"/>
        <w:rPr>
          <w:color w:val="000000"/>
          <w:sz w:val="24"/>
        </w:rPr>
      </w:pPr>
      <w:r>
        <w:rPr>
          <w:color w:val="000000"/>
          <w:sz w:val="24"/>
        </w:rPr>
      </w:r>
    </w:p>
    <w:p>
      <w:pPr>
        <w:pStyle w:val="Normal"/>
        <w:numPr>
          <w:ilvl w:val="0"/>
          <w:numId w:val="4"/>
        </w:numPr>
        <w:autoSpaceDE w:val="false"/>
        <w:spacing w:lineRule="atLeast" w:line="240"/>
        <w:rPr>
          <w:color w:val="000000"/>
          <w:sz w:val="24"/>
        </w:rPr>
      </w:pPr>
      <w:r>
        <w:rPr>
          <w:color w:val="000000"/>
          <w:sz w:val="24"/>
        </w:rPr>
        <w:t>A program that allows curtailable loads to obtain full installed capacity credit. Under the Special Case Resources (SCR) ICAP program, curtailable loads are eligible to participate in the ICAP market along with large generating stations. In New York City this will provide payments of more than $100/kW installed. Curtailable load backed by distributed generation is eligible to participate in this program. Also, curtailable loads may participate in BOTH the EDRP and this program, allowing payments for both capacity and energy.</w:t>
      </w:r>
    </w:p>
    <w:p>
      <w:pPr>
        <w:pStyle w:val="Normal"/>
        <w:autoSpaceDE w:val="false"/>
        <w:spacing w:lineRule="atLeast" w:line="240"/>
        <w:rPr>
          <w:color w:val="000000"/>
          <w:sz w:val="24"/>
        </w:rPr>
      </w:pPr>
      <w:r>
        <w:rPr>
          <w:color w:val="000000"/>
          <w:sz w:val="24"/>
        </w:rPr>
      </w:r>
    </w:p>
    <w:p>
      <w:pPr>
        <w:pStyle w:val="Normal"/>
        <w:numPr>
          <w:ilvl w:val="0"/>
          <w:numId w:val="4"/>
        </w:numPr>
        <w:autoSpaceDE w:val="false"/>
        <w:spacing w:lineRule="atLeast" w:line="240"/>
        <w:rPr>
          <w:color w:val="000000"/>
          <w:sz w:val="24"/>
        </w:rPr>
      </w:pPr>
      <w:r>
        <w:rPr>
          <w:color w:val="000000"/>
          <w:sz w:val="24"/>
        </w:rPr>
        <w:t>A Price Responsive Load (PRL) program that allows curtailable loads to bid into the NYISO energy markets on a daily basis and be dispatched off when prices rise above a level specified by the customer. Customers selected with curtailable load not backed by distributed generation will be paid the HIGHER of their bid or the locational wholesale market price. In addition, the customer is entitled to keep the savings associated with energy not consumed.</w:t>
      </w:r>
    </w:p>
    <w:p>
      <w:pPr>
        <w:pStyle w:val="Normal"/>
        <w:autoSpaceDE w:val="false"/>
        <w:spacing w:lineRule="atLeast" w:line="240"/>
        <w:rPr>
          <w:color w:val="000000"/>
          <w:sz w:val="24"/>
        </w:rPr>
      </w:pPr>
      <w:r>
        <w:rPr>
          <w:color w:val="000000"/>
          <w:sz w:val="24"/>
        </w:rPr>
      </w:r>
    </w:p>
    <w:p>
      <w:pPr>
        <w:pStyle w:val="Normal"/>
        <w:numPr>
          <w:ilvl w:val="2"/>
          <w:numId w:val="4"/>
        </w:numPr>
        <w:autoSpaceDE w:val="false"/>
        <w:spacing w:lineRule="atLeast" w:line="240"/>
        <w:rPr>
          <w:rFonts w:ascii="Courier" w:hAnsi="Courier" w:cs="Courier"/>
          <w:color w:val="000000"/>
          <w:sz w:val="24"/>
        </w:rPr>
      </w:pPr>
      <w:r>
        <w:rPr>
          <w:color w:val="000000"/>
          <w:sz w:val="24"/>
        </w:rPr>
        <w:t>Curtailable load backed by diesel generation is presently excluded from this program, but non diesel technologies such as micro-turbines, fuel cells, and internal combustion engines fired by natural gas or gasoline may participate. However, non diesel distributed generation is not allowed to retain the energy savings and is simply paid the higher of its bid price or market price.</w:t>
      </w:r>
    </w:p>
    <w:p>
      <w:pPr>
        <w:pStyle w:val="Normal"/>
        <w:autoSpaceDE w:val="false"/>
        <w:spacing w:lineRule="atLeast" w:line="240"/>
        <w:ind w:start="1980" w:end="0"/>
        <w:rPr>
          <w:rFonts w:ascii="Courier" w:hAnsi="Courier" w:cs="Courier"/>
          <w:color w:val="000000"/>
          <w:sz w:val="24"/>
        </w:rPr>
      </w:pPr>
      <w:r>
        <w:rPr>
          <w:rFonts w:cs="Courier" w:ascii="Courier" w:hAnsi="Courier"/>
          <w:color w:val="000000"/>
          <w:sz w:val="24"/>
        </w:rPr>
      </w:r>
    </w:p>
    <w:p>
      <w:pPr>
        <w:pStyle w:val="Normal"/>
        <w:numPr>
          <w:ilvl w:val="0"/>
          <w:numId w:val="4"/>
        </w:numPr>
        <w:autoSpaceDE w:val="false"/>
        <w:spacing w:lineRule="atLeast" w:line="240"/>
        <w:rPr>
          <w:rFonts w:ascii="Courier" w:hAnsi="Courier" w:cs="Courier"/>
          <w:color w:val="000000"/>
          <w:sz w:val="24"/>
        </w:rPr>
      </w:pPr>
      <w:r>
        <w:rPr>
          <w:color w:val="000000"/>
          <w:sz w:val="24"/>
        </w:rPr>
        <w:t>The New York State Energy Research and Development Authority (NYSERDA) has developed a $20+ million grant program to foster the development of distributed generation, emergency load curtailment, and price responsive load by this summer.</w:t>
      </w:r>
    </w:p>
    <w:p>
      <w:pPr>
        <w:pStyle w:val="Normal"/>
        <w:autoSpaceDE w:val="false"/>
        <w:spacing w:lineRule="atLeast" w:line="240"/>
        <w:ind w:start="72" w:end="0"/>
        <w:rPr>
          <w:rFonts w:ascii="Courier" w:hAnsi="Courier" w:cs="Arial"/>
          <w:color w:val="000000"/>
          <w:sz w:val="24"/>
        </w:rPr>
      </w:pPr>
      <w:r>
        <w:rPr>
          <w:rFonts w:cs="Arial" w:ascii="Courier" w:hAnsi="Courier"/>
          <w:color w:val="000000"/>
          <w:sz w:val="24"/>
        </w:rPr>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 xml:space="preserve">Other utility demand response programs are also being reviewed by the PSC, which directed the utilities to propose such programs a few months ago. </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The PSC has also created a special price and reliability task force that issued a report several months ago. With respect to price run ups, the Executive Summary of the Report concludes:</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0" w:end="0"/>
        <w:rPr>
          <w:rFonts w:cs="Arial"/>
          <w:color w:val="000000"/>
          <w:sz w:val="24"/>
        </w:rPr>
      </w:pPr>
      <w:r>
        <w:rPr>
          <w:rFonts w:cs="Arial"/>
          <w:color w:val="000000"/>
          <w:sz w:val="24"/>
        </w:rPr>
        <w:t>Wholesale electric prices in New York’s energy markets have risen considerably since last year, primarily due to a doubling of the price of natural gas, which fuels most of New York’s electric generators.  The run-up in gas prices, however, does not fully explain the level of wholesale electric prices in New York’s ISO market.  Increasing usage of electricity is straining the market’s ability to supply electricity, and, not surprisingly, the wholesale market is sending strong signals that new generation or reductions in demand are necessary to bring down prices.</w:t>
      </w:r>
    </w:p>
    <w:p>
      <w:pPr>
        <w:pStyle w:val="Normal"/>
        <w:autoSpaceDE w:val="false"/>
        <w:spacing w:lineRule="atLeast" w:line="240"/>
        <w:ind w:start="720" w:end="0"/>
        <w:rPr>
          <w:rFonts w:cs="Arial"/>
          <w:color w:val="000000"/>
          <w:sz w:val="24"/>
        </w:rPr>
      </w:pPr>
      <w:r>
        <w:rPr>
          <w:rFonts w:cs="Arial"/>
          <w:color w:val="000000"/>
          <w:sz w:val="24"/>
        </w:rPr>
      </w:r>
    </w:p>
    <w:p>
      <w:pPr>
        <w:pStyle w:val="Heading9"/>
        <w:rPr>
          <w:b/>
          <w:bCs/>
        </w:rPr>
      </w:pPr>
      <w:r>
        <w:rPr>
          <w:b/>
          <w:bCs/>
        </w:rPr>
        <w:t>Enron Response</w:t>
      </w:r>
    </w:p>
    <w:p>
      <w:pPr>
        <w:pStyle w:val="Normal"/>
        <w:autoSpaceDE w:val="false"/>
        <w:spacing w:lineRule="atLeast" w:line="240"/>
        <w:ind w:start="72" w:end="0"/>
        <w:rPr>
          <w:rFonts w:cs="Arial"/>
          <w:b/>
          <w:bCs/>
          <w:color w:val="000000"/>
          <w:sz w:val="24"/>
          <w:u w:val="single"/>
        </w:rPr>
      </w:pPr>
      <w:r>
        <w:rPr>
          <w:rFonts w:cs="Arial"/>
          <w:b/>
          <w:bCs/>
          <w:color w:val="000000"/>
          <w:sz w:val="24"/>
          <w:u w:val="single"/>
        </w:rPr>
      </w:r>
    </w:p>
    <w:p>
      <w:pPr>
        <w:pStyle w:val="Normal"/>
        <w:autoSpaceDE w:val="false"/>
        <w:spacing w:lineRule="atLeast" w:line="240"/>
        <w:ind w:start="72" w:end="0"/>
        <w:rPr>
          <w:rFonts w:cs="Arial"/>
          <w:color w:val="000000"/>
          <w:sz w:val="24"/>
        </w:rPr>
      </w:pPr>
      <w:r>
        <w:rPr>
          <w:rFonts w:cs="Arial"/>
          <w:color w:val="000000"/>
          <w:sz w:val="24"/>
        </w:rPr>
        <w:t>As noted above, Enron has been extremely active at the ISO advocating changes to the rules that would improve liquidity and enhance reliability for the State. At the FERC technical conference, which was granted in response to Enron’s request, we made a major presentation on behalf of the suppliers sector about the need for liquidity and identified a number of specific measures that we argued could and should be implemented by the ISO prior to this summer. We have reiterated those recommendations in recently filed comments following the technical conference. We have also highlighted our concerns with the NY market rules in our just filed RTO comments.</w:t>
      </w:r>
    </w:p>
    <w:p>
      <w:pPr>
        <w:pStyle w:val="Normal"/>
        <w:autoSpaceDE w:val="false"/>
        <w:spacing w:lineRule="atLeast" w:line="240"/>
        <w:ind w:start="72" w:end="0"/>
        <w:rPr>
          <w:rFonts w:cs="Arial"/>
          <w:color w:val="000000"/>
          <w:sz w:val="24"/>
        </w:rPr>
      </w:pPr>
      <w:r>
        <w:rPr>
          <w:rFonts w:cs="Arial"/>
          <w:color w:val="000000"/>
          <w:sz w:val="24"/>
        </w:rPr>
      </w:r>
    </w:p>
    <w:p>
      <w:pPr>
        <w:pStyle w:val="Normal"/>
        <w:autoSpaceDE w:val="false"/>
        <w:spacing w:lineRule="atLeast" w:line="240"/>
        <w:ind w:start="72" w:end="0"/>
        <w:rPr>
          <w:rFonts w:cs="Arial"/>
          <w:color w:val="000000"/>
          <w:sz w:val="24"/>
        </w:rPr>
      </w:pPr>
      <w:r>
        <w:rPr>
          <w:rFonts w:cs="Arial"/>
          <w:color w:val="000000"/>
          <w:sz w:val="24"/>
        </w:rPr>
        <w:t>To facilitate demand response programs, we helped create the Price Responsive Load Coalition last fall. This coalition of 20+ members was extremely successful in getting the various demand response programs described above adopted for this summer. A copy of a presentation made by the coalition’s part-time Executive Director to the recent NARUC Winter Committee Meeting is also attached, as it provides many more details about these programs.</w:t>
      </w:r>
    </w:p>
    <w:p>
      <w:pPr>
        <w:pStyle w:val="Normal"/>
        <w:autoSpaceDE w:val="false"/>
        <w:spacing w:lineRule="atLeast" w:line="240"/>
        <w:ind w:start="72" w:end="0"/>
        <w:rPr>
          <w:rFonts w:cs="Arial"/>
          <w:color w:val="000000"/>
          <w:sz w:val="24"/>
        </w:rPr>
      </w:pPr>
      <w:r>
        <w:rPr>
          <w:rFonts w:cs="Arial"/>
          <w:color w:val="000000"/>
          <w:sz w:val="24"/>
        </w:rPr>
      </w:r>
    </w:p>
    <w:p>
      <w:pPr>
        <w:pStyle w:val="BodyTextIndent"/>
        <w:rPr/>
      </w:pPr>
      <w:r>
        <w:rPr/>
        <w:t>Finally, last month we began the process of establishing a coalition of suppliers to engage in a major campaign to affect policy makers and public opinion. We expect to have a coalition of at least 10 major companies (Dynegy, Keyspan and Morgan Stanley have already informally indicated their support. I’ve also spoken with the NRDC and they are interested in participating with us.) Each company has been asked to contribute $10-$15K towards this campaign. Its major themes will focus on enhancing reliability through increased energy supply and decreased demand; encouraging risk management/hedging strategies by load serving entities and customers; promoting customer choice; advocating the benefits of competitive markets; and explaining that price caps do not work. Our target audiences include state, local and federal government officials, strategic relationships (e.g., Wall St. and the commercial building owners, who are very important players in NYC), and the media. A draft of our presentation to the coalition is also attached.</w:t>
      </w:r>
    </w:p>
    <w:p>
      <w:pPr>
        <w:pStyle w:val="Normal"/>
        <w:autoSpaceDE w:val="false"/>
        <w:spacing w:lineRule="atLeast" w:line="240"/>
        <w:ind w:start="72" w:end="0"/>
        <w:rPr>
          <w:rFonts w:cs="Arial"/>
          <w:color w:val="000000"/>
          <w:sz w:val="24"/>
        </w:rPr>
      </w:pPr>
      <w:r>
        <w:rPr>
          <w:rFonts w:cs="Arial"/>
          <w:color w:val="000000"/>
          <w:sz w:val="24"/>
        </w:rPr>
      </w:r>
    </w:p>
    <w:p>
      <w:pPr>
        <w:pStyle w:val="BodyTextIndent"/>
        <w:rPr/>
      </w:pPr>
      <w:r>
        <w:rPr/>
        <w:t>A core group of companies has met twice in the past two weeks to discuss this initiative, and we expect to form the coalition, retain a PR firm and start the campaign by the beginning of April. This campaign will complement the national campaign now underway by Enron.</w:t>
      </w:r>
      <w:r>
        <w:br w:type="page"/>
      </w:r>
    </w:p>
    <w:p>
      <w:pPr>
        <w:pStyle w:val="FootnoteText"/>
        <w:autoSpaceDE w:val="false"/>
        <w:spacing w:lineRule="atLeast" w:line="240"/>
        <w:jc w:val="center"/>
        <w:rPr>
          <w:b/>
          <w:bCs/>
          <w:sz w:val="28"/>
        </w:rPr>
      </w:pPr>
      <w:r>
        <w:rPr>
          <w:b/>
          <w:bCs/>
          <w:sz w:val="28"/>
        </w:rPr>
        <w:t>RETAIL MARKET</w:t>
      </w:r>
    </w:p>
    <w:p>
      <w:pPr>
        <w:pStyle w:val="Normal"/>
        <w:autoSpaceDE w:val="false"/>
        <w:spacing w:lineRule="atLeast" w:line="240"/>
        <w:ind w:start="720" w:end="0"/>
        <w:jc w:val="center"/>
        <w:rPr>
          <w:rFonts w:cs="Arial"/>
          <w:b/>
          <w:bCs/>
          <w:color w:val="000000"/>
          <w:sz w:val="24"/>
        </w:rPr>
      </w:pPr>
      <w:r>
        <w:rPr>
          <w:rFonts w:cs="Arial"/>
          <w:b/>
          <w:bCs/>
          <w:color w:val="000000"/>
          <w:sz w:val="24"/>
        </w:rPr>
      </w:r>
    </w:p>
    <w:p>
      <w:pPr>
        <w:pStyle w:val="Heading5"/>
        <w:ind w:hanging="0" w:start="0"/>
        <w:rPr>
          <w:b/>
          <w:bCs/>
          <w:sz w:val="24"/>
          <w:u w:val="single"/>
        </w:rPr>
      </w:pPr>
      <w:r>
        <w:rPr>
          <w:b/>
          <w:bCs/>
          <w:sz w:val="24"/>
          <w:u w:val="single"/>
        </w:rPr>
        <w:t>Retail Competition</w:t>
      </w:r>
    </w:p>
    <w:p>
      <w:pPr>
        <w:pStyle w:val="Normal"/>
        <w:rPr>
          <w:b/>
          <w:bCs/>
          <w:color w:val="000000"/>
          <w:sz w:val="24"/>
          <w:u w:val="single"/>
        </w:rPr>
      </w:pPr>
      <w:r>
        <w:rPr>
          <w:b/>
          <w:bCs/>
          <w:color w:val="000000"/>
          <w:sz w:val="24"/>
          <w:u w:val="single"/>
        </w:rPr>
      </w:r>
    </w:p>
    <w:p>
      <w:pPr>
        <w:pStyle w:val="Normal"/>
        <w:rPr/>
      </w:pPr>
      <w:r>
        <w:rPr>
          <w:sz w:val="24"/>
        </w:rPr>
        <w:t>In New York, retail competition is being phased in at different times in each utility’s service territory through restructuring plans or “settlements” approved by the PSC</w:t>
      </w:r>
      <w:r>
        <w:rPr>
          <w:rStyle w:val="FootnoteCharacters"/>
          <w:rStyle w:val="FootnoteReference"/>
          <w:sz w:val="24"/>
        </w:rPr>
        <w:footnoteReference w:id="5"/>
      </w:r>
      <w:r>
        <w:rPr>
          <w:sz w:val="24"/>
        </w:rPr>
        <w:t xml:space="preserve">.  Most of the utilities are now completely open. Two utilities, RG&amp;E and Central Hudson, are in the last phase of their settlements (total access on July1) and are in the process of filing proposed tariff leaves and updated retail access plans.  The Long Island Power Authority, which is not regulated by the State, has adopted its own retail access plan. Under that plan, total retail access is being phased in and all customers are to have access by January 1, 2003.  </w:t>
      </w:r>
      <w:r>
        <w:rPr>
          <w:color w:val="000000"/>
          <w:sz w:val="24"/>
        </w:rPr>
        <w:t>Set out below is a brief summary of each of the utilities’ restructuring plans.</w:t>
      </w:r>
    </w:p>
    <w:p>
      <w:pPr>
        <w:pStyle w:val="Normal"/>
        <w:rPr>
          <w:color w:val="000000"/>
          <w:sz w:val="24"/>
        </w:rPr>
      </w:pPr>
      <w:r>
        <w:rPr>
          <w:color w:val="000000"/>
          <w:sz w:val="24"/>
        </w:rPr>
      </w:r>
    </w:p>
    <w:p>
      <w:pPr>
        <w:pStyle w:val="NormalWeb"/>
        <w:spacing w:before="0" w:after="0"/>
        <w:rPr>
          <w:rFonts w:ascii="Garamond" w:hAnsi="Garamond" w:eastAsia="Times New Roman" w:cs="Times New Roman"/>
          <w:sz w:val="24"/>
          <w:szCs w:val="20"/>
        </w:rPr>
      </w:pPr>
      <w:r>
        <w:rPr>
          <w:rFonts w:eastAsia="Times New Roman" w:cs="Times New Roman" w:ascii="Garamond" w:hAnsi="Garamond"/>
          <w:sz w:val="24"/>
          <w:szCs w:val="20"/>
        </w:rPr>
      </w:r>
    </w:p>
    <w:p>
      <w:pPr>
        <w:pStyle w:val="Heading5"/>
        <w:ind w:hanging="0" w:start="0"/>
        <w:rPr>
          <w:b/>
          <w:bCs/>
          <w:sz w:val="24"/>
          <w:u w:val="single"/>
        </w:rPr>
      </w:pPr>
      <w:r>
        <w:rPr>
          <w:b/>
          <w:bCs/>
          <w:sz w:val="24"/>
          <w:u w:val="single"/>
        </w:rPr>
        <w:t>Consolidated Edison (ConEd)</w:t>
      </w:r>
    </w:p>
    <w:p>
      <w:pPr>
        <w:pStyle w:val="Heading5"/>
        <w:ind w:hanging="0" w:start="0"/>
        <w:rPr>
          <w:b/>
          <w:bCs/>
          <w:sz w:val="24"/>
          <w:u w:val="single"/>
        </w:rPr>
      </w:pPr>
      <w:r>
        <w:rPr>
          <w:b/>
          <w:bCs/>
          <w:sz w:val="24"/>
          <w:u w:val="single"/>
        </w:rPr>
      </w:r>
    </w:p>
    <w:p>
      <w:pPr>
        <w:pStyle w:val="Heading5"/>
        <w:ind w:hanging="0" w:start="0"/>
        <w:rPr>
          <w:sz w:val="24"/>
        </w:rPr>
      </w:pPr>
      <w:r>
        <w:rPr>
          <w:sz w:val="24"/>
        </w:rPr>
        <w:t>In November 2000 the PSC approved ConEd’s proposed merger with Northeast Utilities (see below) and also authorized an extension of ConEd’s 1997 restructuring settlement by three years, to 2005.  ConEd is currently entering Phase IV of its Retail Access Implementation Plan and has filed a petition with the PSC to update its rates to be effective on May 1, 2001.  In Phase IV, the parties were charged with the task of developing a mechanism that would properly reflect the long run avoided costs (“LRAC”) related to the elimination of the merchant  function. The potential cost savings include two categories. The first is the documentation of the specific long run costs avoided by customers migrating to ESCOs. The second relates to the introduction of appropriate financial mechanisms which ensure that these savings are achieved at the earliest possible date.  To reach this desired end state, a Marketer Coalition made up of certain ESCOs is proposing a Retail Access Plan comprised of the following components:</w:t>
      </w:r>
    </w:p>
    <w:p>
      <w:pPr>
        <w:pStyle w:val="Normal"/>
        <w:rPr>
          <w:sz w:val="24"/>
        </w:rPr>
      </w:pPr>
      <w:r>
        <w:rPr>
          <w:sz w:val="24"/>
        </w:rPr>
        <w:tab/>
        <w:tab/>
        <w:tab/>
        <w:t xml:space="preserve"> 1.   Commodity backout adder of 2 mills/kWh</w:t>
      </w:r>
    </w:p>
    <w:p>
      <w:pPr>
        <w:pStyle w:val="Normal"/>
        <w:numPr>
          <w:ilvl w:val="0"/>
          <w:numId w:val="2"/>
        </w:numPr>
        <w:rPr>
          <w:sz w:val="24"/>
        </w:rPr>
      </w:pPr>
      <w:r>
        <w:rPr>
          <w:sz w:val="24"/>
        </w:rPr>
        <w:t>Customer care backout of $3.63 per customer per month;</w:t>
      </w:r>
    </w:p>
    <w:p>
      <w:pPr>
        <w:pStyle w:val="Normal"/>
        <w:numPr>
          <w:ilvl w:val="0"/>
          <w:numId w:val="2"/>
        </w:numPr>
        <w:rPr>
          <w:sz w:val="24"/>
        </w:rPr>
      </w:pPr>
      <w:r>
        <w:rPr>
          <w:sz w:val="24"/>
        </w:rPr>
        <w:t>One-time payments of $100 to marketers for each new customer signed up over a three year period.</w:t>
      </w:r>
    </w:p>
    <w:p>
      <w:pPr>
        <w:pStyle w:val="Normal"/>
        <w:rPr>
          <w:sz w:val="24"/>
        </w:rPr>
      </w:pPr>
      <w:r>
        <w:rPr>
          <w:sz w:val="24"/>
        </w:rPr>
      </w:r>
    </w:p>
    <w:p>
      <w:pPr>
        <w:pStyle w:val="Normal"/>
        <w:rPr>
          <w:sz w:val="24"/>
        </w:rPr>
      </w:pPr>
      <w:r>
        <w:rPr>
          <w:sz w:val="24"/>
        </w:rPr>
        <w:t>Based on their marketing experience, the marketers believe that implementation of this program would result in all customers migrating within a five year period, with 10%, 20%, 30%, 50% and 100% migration levels in Year 1, 2, 3, 4 and 5, respectively. Commodity related LRACs are avoided on a one-for-one basis.  With regard to customer care functions, taking a conservative view, it is assumed that actual avoidance of LRACs would not occur until Year 3, and thereafter, the level of avoided LRACs would be commensurate with the level of migration. Thus, in Year 3, cost savings will approximate $39 million; in Year 4, savings will rise to $65 million; and then, in Year 5, the savings will plateau at  $130 million.</w:t>
      </w:r>
    </w:p>
    <w:p>
      <w:pPr>
        <w:pStyle w:val="Normal"/>
        <w:rPr>
          <w:sz w:val="24"/>
        </w:rPr>
      </w:pPr>
      <w:r>
        <w:rPr>
          <w:sz w:val="24"/>
        </w:rPr>
      </w:r>
    </w:p>
    <w:p>
      <w:pPr>
        <w:pStyle w:val="Normal"/>
        <w:rPr>
          <w:sz w:val="24"/>
        </w:rPr>
      </w:pPr>
      <w:r>
        <w:rPr>
          <w:sz w:val="24"/>
        </w:rPr>
        <w:t xml:space="preserve">Over the five year migration term, the Retail Access Plan will engender a revenue impact of $129 million, of which $90 million is associated with the customer sign-up payments and $39 million is reflective of the per customer monthly backout. However, by the conclusion of Year 5, cost savings of $130 million are being realized by the Company, and these savings will continue each year. Further, delaying migration will forestall achievement of these cost reductions. Even a one year delay in the migration schedule forces consumers to bear up to an additional $130 million of costs.  </w:t>
      </w:r>
    </w:p>
    <w:p>
      <w:pPr>
        <w:pStyle w:val="Normal"/>
        <w:autoSpaceDE w:val="false"/>
        <w:rPr>
          <w:sz w:val="24"/>
        </w:rPr>
      </w:pPr>
      <w:r>
        <w:rPr>
          <w:sz w:val="24"/>
        </w:rPr>
      </w:r>
    </w:p>
    <w:p>
      <w:pPr>
        <w:pStyle w:val="Normal"/>
        <w:autoSpaceDE w:val="false"/>
        <w:rPr>
          <w:sz w:val="24"/>
        </w:rPr>
      </w:pPr>
      <w:r>
        <w:rPr>
          <w:sz w:val="24"/>
        </w:rPr>
        <w:t xml:space="preserve">The Phase IV Retail Access proceeding in ongoing and Enron is participating in all aspects of the proceeding.  </w:t>
      </w:r>
    </w:p>
    <w:p>
      <w:pPr>
        <w:pStyle w:val="Normal"/>
        <w:autoSpaceDE w:val="false"/>
        <w:rPr>
          <w:sz w:val="24"/>
        </w:rPr>
      </w:pPr>
      <w:r>
        <w:rPr>
          <w:sz w:val="24"/>
        </w:rPr>
      </w:r>
    </w:p>
    <w:p>
      <w:pPr>
        <w:pStyle w:val="Heading5"/>
        <w:autoSpaceDE w:val="false"/>
        <w:ind w:hanging="0" w:start="0"/>
        <w:rPr>
          <w:sz w:val="24"/>
          <w:u w:val="single"/>
        </w:rPr>
      </w:pPr>
      <w:r>
        <w:rPr>
          <w:sz w:val="24"/>
          <w:u w:val="single"/>
        </w:rPr>
        <w:t>Merger Collapse?</w:t>
      </w:r>
    </w:p>
    <w:p>
      <w:pPr>
        <w:pStyle w:val="Normal"/>
        <w:autoSpaceDE w:val="false"/>
        <w:rPr>
          <w:color w:val="000000"/>
          <w:sz w:val="24"/>
        </w:rPr>
      </w:pPr>
      <w:r>
        <w:rPr>
          <w:sz w:val="24"/>
        </w:rPr>
        <w:t xml:space="preserve">ConEd's $3.8 billion acquisition of Northeast Utilities (“NU”) is teetering on the brink of collapse.  This week, NU threatened to sue ConEd for breach of contract for failing to give NU written confirmation that it intends to close the parties’ pending merger on the previously agreed-upon terms. In 1999, ConEd agreed to acquire NU for $25 per share in a combination of cash and ConEd stock. However, the deal ran into trouble when Connecticut regulators set tough conditions, including $50-million in immediate rate cuts, a $60-million write-off of NU stranded costs, and a sharing plan that the companies complained would give customers all the benefits for the first few years. When Connecticut regulators refused to modify those terms, ConEd balked at the proceeding, saying it would analyze the impact before proceeding.  Although NU has been threatening litigation, ConEd beat NU by filing suit in federal court on Tuesday.  </w:t>
      </w:r>
      <w:r>
        <w:rPr>
          <w:sz w:val="24"/>
          <w:szCs w:val="22"/>
        </w:rPr>
        <w:t xml:space="preserve">ConEd alleges that NU failed to satisfy conditions of the deal made because its power marketing subsidiary, Select Energy has entered into to power supply contracts that posed a ''significant risk'' if power prices skyrocket. </w:t>
      </w:r>
    </w:p>
    <w:p>
      <w:pPr>
        <w:pStyle w:val="Normal"/>
        <w:rPr>
          <w:b/>
          <w:bCs/>
          <w:color w:val="000000"/>
          <w:sz w:val="24"/>
          <w:u w:val="single"/>
        </w:rPr>
      </w:pPr>
      <w:r>
        <w:rPr>
          <w:b/>
          <w:bCs/>
          <w:color w:val="000000"/>
          <w:sz w:val="24"/>
          <w:u w:val="single"/>
        </w:rPr>
      </w:r>
    </w:p>
    <w:p>
      <w:pPr>
        <w:pStyle w:val="Normal"/>
        <w:rPr/>
      </w:pPr>
      <w:r>
        <w:rPr>
          <w:b/>
          <w:bCs/>
          <w:color w:val="000000"/>
          <w:sz w:val="24"/>
          <w:u w:val="single"/>
        </w:rPr>
        <w:t>Central Hudson (CH)</w:t>
      </w:r>
      <w:r>
        <w:rPr>
          <w:color w:val="000000"/>
          <w:sz w:val="24"/>
        </w:rPr>
        <w:t xml:space="preserve"> </w:t>
      </w:r>
    </w:p>
    <w:p>
      <w:pPr>
        <w:pStyle w:val="Normal"/>
        <w:rPr>
          <w:color w:val="000000"/>
          <w:sz w:val="24"/>
        </w:rPr>
      </w:pPr>
      <w:r>
        <w:rPr>
          <w:color w:val="000000"/>
          <w:sz w:val="24"/>
        </w:rPr>
      </w:r>
    </w:p>
    <w:p>
      <w:pPr>
        <w:pStyle w:val="Normal"/>
        <w:rPr/>
      </w:pPr>
      <w:r>
        <w:rPr>
          <w:color w:val="000000"/>
          <w:sz w:val="24"/>
        </w:rPr>
        <w:t xml:space="preserve">Central Hudson’s settlement agreement ends on June 30, 2001.  As such, CH filed with the PSC </w:t>
      </w:r>
      <w:r>
        <w:rPr>
          <w:sz w:val="24"/>
        </w:rPr>
        <w:t>to restructure its rates as a result of the sales of its fossil fuel power plants (Roseton and Danskammer) to Dynegy</w:t>
      </w:r>
      <w:r>
        <w:rPr>
          <w:rStyle w:val="FootnoteCharacters"/>
          <w:rStyle w:val="FootnoteReference"/>
          <w:sz w:val="24"/>
        </w:rPr>
        <w:footnoteReference w:id="6"/>
      </w:r>
      <w:r>
        <w:rPr>
          <w:sz w:val="24"/>
        </w:rPr>
        <w:t xml:space="preserve">. </w:t>
      </w:r>
      <w:r>
        <w:rPr>
          <w:color w:val="000000"/>
          <w:sz w:val="24"/>
        </w:rPr>
        <w:t xml:space="preserve"> The rate case is pending and settlement negotiations are currently underway.  </w:t>
      </w:r>
      <w:r>
        <w:rPr>
          <w:sz w:val="24"/>
        </w:rPr>
        <w:t xml:space="preserve">In its filings (including testimony, initial and reply briefs and settlement proposals) CH requested approval of the several proposals, including: </w:t>
      </w:r>
    </w:p>
    <w:p>
      <w:pPr>
        <w:pStyle w:val="Normal"/>
        <w:rPr>
          <w:sz w:val="24"/>
        </w:rPr>
      </w:pPr>
      <w:r>
        <w:rPr>
          <w:sz w:val="24"/>
        </w:rPr>
      </w:r>
    </w:p>
    <w:p>
      <w:pPr>
        <w:pStyle w:val="Normal"/>
        <w:numPr>
          <w:ilvl w:val="0"/>
          <w:numId w:val="7"/>
        </w:numPr>
        <w:rPr>
          <w:sz w:val="24"/>
        </w:rPr>
      </w:pPr>
      <w:r>
        <w:rPr>
          <w:sz w:val="24"/>
        </w:rPr>
        <w:t>Unbundled electric rates to separate energy delivery from energy supply</w:t>
      </w:r>
    </w:p>
    <w:p>
      <w:pPr>
        <w:pStyle w:val="Normal"/>
        <w:numPr>
          <w:ilvl w:val="0"/>
          <w:numId w:val="7"/>
        </w:numPr>
        <w:rPr>
          <w:sz w:val="24"/>
        </w:rPr>
      </w:pPr>
      <w:r>
        <w:rPr>
          <w:sz w:val="24"/>
        </w:rPr>
        <w:t>Increase delivery charges by an average of 4.7%, exclusive of Nine Mile Point 2 (NMP2) CTC charge.</w:t>
      </w:r>
    </w:p>
    <w:p>
      <w:pPr>
        <w:pStyle w:val="Normal"/>
        <w:numPr>
          <w:ilvl w:val="0"/>
          <w:numId w:val="7"/>
        </w:numPr>
        <w:rPr>
          <w:sz w:val="24"/>
        </w:rPr>
      </w:pPr>
      <w:r>
        <w:rPr>
          <w:sz w:val="24"/>
        </w:rPr>
        <w:t>Impose NMP2 CTC of $4.30 MWh</w:t>
      </w:r>
    </w:p>
    <w:p>
      <w:pPr>
        <w:pStyle w:val="Normal"/>
        <w:numPr>
          <w:ilvl w:val="0"/>
          <w:numId w:val="7"/>
        </w:numPr>
        <w:rPr>
          <w:sz w:val="24"/>
        </w:rPr>
      </w:pPr>
      <w:r>
        <w:rPr>
          <w:sz w:val="24"/>
        </w:rPr>
        <w:t>Impose an indeterminate variable delivery charge, in addition to the wires charge.</w:t>
      </w:r>
    </w:p>
    <w:p>
      <w:pPr>
        <w:pStyle w:val="Normal"/>
        <w:numPr>
          <w:ilvl w:val="0"/>
          <w:numId w:val="7"/>
        </w:numPr>
        <w:rPr>
          <w:sz w:val="24"/>
        </w:rPr>
      </w:pPr>
      <w:r>
        <w:rPr>
          <w:sz w:val="24"/>
        </w:rPr>
        <w:t xml:space="preserve">Retain $40.7 million in benefits, in additional to the $27.7 million it has already retained, as an additional shareholder incentive for the sale of the Danskammer and Roseton fossil plants.  </w:t>
      </w:r>
    </w:p>
    <w:p>
      <w:pPr>
        <w:pStyle w:val="Normal"/>
        <w:numPr>
          <w:ilvl w:val="2"/>
          <w:numId w:val="3"/>
        </w:numPr>
        <w:rPr>
          <w:sz w:val="24"/>
        </w:rPr>
      </w:pPr>
      <w:r>
        <w:rPr>
          <w:sz w:val="24"/>
        </w:rPr>
        <w:t xml:space="preserve">The 1998 settlement agreement entitled CH shareholders a maximum financial incentive of $18 million after tax (the equivalent of an additional 9% return on equity). Central Hudson proposes that an additional 20% of the benefits from the auction be allocated to its shareholders.  </w:t>
      </w:r>
    </w:p>
    <w:p>
      <w:pPr>
        <w:pStyle w:val="Normal"/>
        <w:numPr>
          <w:ilvl w:val="0"/>
          <w:numId w:val="7"/>
        </w:numPr>
        <w:rPr>
          <w:sz w:val="24"/>
        </w:rPr>
      </w:pPr>
      <w:r>
        <w:rPr>
          <w:sz w:val="24"/>
        </w:rPr>
        <w:t>Use the customer share of the remaining net benefits from the sale of the fossil plants to:</w:t>
      </w:r>
    </w:p>
    <w:p>
      <w:pPr>
        <w:pStyle w:val="Normal"/>
        <w:numPr>
          <w:ilvl w:val="2"/>
          <w:numId w:val="3"/>
        </w:numPr>
        <w:rPr>
          <w:sz w:val="24"/>
        </w:rPr>
      </w:pPr>
      <w:r>
        <w:rPr>
          <w:sz w:val="24"/>
        </w:rPr>
        <w:t>offset any NMP2 generation assets</w:t>
      </w:r>
    </w:p>
    <w:p>
      <w:pPr>
        <w:pStyle w:val="BodyText2"/>
        <w:numPr>
          <w:ilvl w:val="2"/>
          <w:numId w:val="3"/>
        </w:numPr>
        <w:rPr/>
      </w:pPr>
      <w:r>
        <w:rPr/>
        <w:t>extinguish the obligation of the Company for its liabilities for a gas manufacturing plant remediation to recover premiums that the Company would pay for calling in outstanding debentures.</w:t>
      </w:r>
    </w:p>
    <w:p>
      <w:pPr>
        <w:pStyle w:val="Normal"/>
        <w:numPr>
          <w:ilvl w:val="0"/>
          <w:numId w:val="7"/>
        </w:numPr>
        <w:rPr>
          <w:sz w:val="24"/>
        </w:rPr>
      </w:pPr>
      <w:r>
        <w:rPr>
          <w:sz w:val="24"/>
        </w:rPr>
        <w:t>Retain what is left of the net divestures proceeds to establish a nondescript, undedicated fund termed “customer benefit fund”</w:t>
      </w:r>
    </w:p>
    <w:p>
      <w:pPr>
        <w:pStyle w:val="Normal"/>
        <w:numPr>
          <w:ilvl w:val="0"/>
          <w:numId w:val="7"/>
        </w:numPr>
        <w:rPr>
          <w:sz w:val="24"/>
        </w:rPr>
      </w:pPr>
      <w:r>
        <w:rPr>
          <w:sz w:val="24"/>
        </w:rPr>
        <w:t xml:space="preserve">Use relatively cheap energy and capacity, bought back from Dynegy, the purchaser of its Roseton and Danskammer plants (under an arrangement known as a Transition Power Agreement (TPA)), to “stabilize” purchased power costs of only a selected portion of its customers, </w:t>
      </w:r>
      <w:r>
        <w:rPr>
          <w:sz w:val="24"/>
          <w:u w:val="single"/>
        </w:rPr>
        <w:t>specifically excluding SC 13 customers</w:t>
      </w:r>
      <w:r>
        <w:rPr>
          <w:sz w:val="24"/>
        </w:rPr>
        <w:t>. (IBM)</w:t>
      </w:r>
    </w:p>
    <w:p>
      <w:pPr>
        <w:pStyle w:val="Normal"/>
        <w:rPr>
          <w:sz w:val="24"/>
        </w:rPr>
      </w:pPr>
      <w:r>
        <w:rPr>
          <w:sz w:val="24"/>
        </w:rPr>
      </w:r>
    </w:p>
    <w:p>
      <w:pPr>
        <w:pStyle w:val="Normal"/>
        <w:autoSpaceDE w:val="false"/>
        <w:spacing w:lineRule="atLeast" w:line="240"/>
        <w:rPr>
          <w:sz w:val="24"/>
        </w:rPr>
      </w:pPr>
      <w:r>
        <w:rPr>
          <w:sz w:val="24"/>
        </w:rPr>
        <w:t xml:space="preserve">Enron, in conjunction with Multiple Intervenors (“MI”), has participated in discovery and settlement discussions by advocating several positions consistent with our commercial position/exposure stemming from our deal with IBM.  Enron’s regulatory strategy is to support MI in its advocacy of using the stranded benefits (from the sale of fossil generation plants) to stabilize and reduce T&amp;D rates and arguing that the benefits of the Transition Power Agreement w/ Dynegy should extend to all customers, including SC-13 (IBM).  PSC staff also supports the position that the TPA benefits should be allocated to all customer classes, including SC-13.  </w:t>
      </w:r>
    </w:p>
    <w:p>
      <w:pPr>
        <w:pStyle w:val="Normal"/>
        <w:autoSpaceDE w:val="false"/>
        <w:spacing w:lineRule="atLeast" w:line="240"/>
        <w:rPr>
          <w:rFonts w:cs="Arial"/>
          <w:color w:val="000000"/>
          <w:sz w:val="24"/>
        </w:rPr>
      </w:pPr>
      <w:r>
        <w:rPr>
          <w:rFonts w:cs="Arial"/>
          <w:color w:val="000000"/>
          <w:sz w:val="24"/>
        </w:rPr>
      </w:r>
    </w:p>
    <w:p>
      <w:pPr>
        <w:pStyle w:val="Heading5"/>
        <w:ind w:hanging="0" w:start="0"/>
        <w:rPr>
          <w:b/>
          <w:bCs/>
          <w:sz w:val="24"/>
          <w:u w:val="single"/>
        </w:rPr>
      </w:pPr>
      <w:r>
        <w:rPr>
          <w:b/>
          <w:bCs/>
          <w:sz w:val="24"/>
          <w:u w:val="single"/>
        </w:rPr>
        <w:t>Niagara Mohawk (NiMo)</w:t>
      </w:r>
    </w:p>
    <w:p>
      <w:pPr>
        <w:pStyle w:val="Normal"/>
        <w:autoSpaceDE w:val="false"/>
        <w:rPr>
          <w:b/>
          <w:bCs/>
          <w:sz w:val="24"/>
          <w:u w:val="single"/>
        </w:rPr>
      </w:pPr>
      <w:r>
        <w:rPr>
          <w:b/>
          <w:bCs/>
          <w:sz w:val="24"/>
          <w:u w:val="single"/>
        </w:rPr>
      </w:r>
    </w:p>
    <w:p>
      <w:pPr>
        <w:pStyle w:val="Normal"/>
        <w:autoSpaceDE w:val="false"/>
        <w:rPr/>
      </w:pPr>
      <w:r>
        <w:rPr>
          <w:sz w:val="24"/>
        </w:rPr>
        <w:t xml:space="preserve">Under Niagara Mohawk’s restructuring settlement, electricity and delivery rates are set until September 1, 2001. NiMo’s electric rates must be updated as of September 1 to reset the competitive transition charge (CTC), based on the current forecast of generation market prices.  </w:t>
      </w:r>
      <w:r>
        <w:rPr>
          <w:rStyle w:val="normaltextfont"/>
          <w:rFonts w:cs="Garamond"/>
          <w:color w:val="000000"/>
          <w:sz w:val="24"/>
        </w:rPr>
        <w:t xml:space="preserve">According to NiMo, its </w:t>
      </w:r>
      <w:r>
        <w:rPr>
          <w:sz w:val="24"/>
        </w:rPr>
        <w:t xml:space="preserve">purchased power costs will be increasing significantly (by 8 to 12 percent for the Non-Market Price customer classes) as the result of several factors, including: </w:t>
      </w:r>
    </w:p>
    <w:p>
      <w:pPr>
        <w:pStyle w:val="Normal"/>
        <w:numPr>
          <w:ilvl w:val="0"/>
          <w:numId w:val="7"/>
        </w:numPr>
        <w:autoSpaceDE w:val="false"/>
        <w:rPr>
          <w:color w:val="000000"/>
          <w:sz w:val="24"/>
        </w:rPr>
      </w:pPr>
      <w:r>
        <w:rPr>
          <w:sz w:val="24"/>
        </w:rPr>
        <w:t xml:space="preserve">lowest priced power supply contracts are expiring, causing the average cost of purchased power to increase </w:t>
      </w:r>
    </w:p>
    <w:p>
      <w:pPr>
        <w:pStyle w:val="Normal"/>
        <w:numPr>
          <w:ilvl w:val="0"/>
          <w:numId w:val="7"/>
        </w:numPr>
        <w:autoSpaceDE w:val="false"/>
        <w:rPr>
          <w:color w:val="000000"/>
          <w:sz w:val="24"/>
        </w:rPr>
      </w:pPr>
      <w:r>
        <w:rPr>
          <w:sz w:val="24"/>
        </w:rPr>
        <w:t>fuel price indexes or gas swap provisions in several of its contracts have been triggered by high natural gas contracts</w:t>
      </w:r>
    </w:p>
    <w:p>
      <w:pPr>
        <w:pStyle w:val="Normal"/>
        <w:numPr>
          <w:ilvl w:val="0"/>
          <w:numId w:val="7"/>
        </w:numPr>
        <w:autoSpaceDE w:val="false"/>
        <w:rPr>
          <w:color w:val="000000"/>
          <w:sz w:val="24"/>
        </w:rPr>
      </w:pPr>
      <w:r>
        <w:rPr>
          <w:sz w:val="24"/>
        </w:rPr>
        <w:t>market price of generation has increased</w:t>
      </w:r>
    </w:p>
    <w:p>
      <w:pPr>
        <w:pStyle w:val="Normal"/>
        <w:numPr>
          <w:ilvl w:val="0"/>
          <w:numId w:val="7"/>
        </w:numPr>
        <w:autoSpaceDE w:val="false"/>
        <w:rPr>
          <w:sz w:val="24"/>
        </w:rPr>
      </w:pPr>
      <w:r>
        <w:rPr>
          <w:sz w:val="24"/>
        </w:rPr>
        <w:t xml:space="preserve">NY ISO ancillary service charges </w:t>
      </w:r>
    </w:p>
    <w:p>
      <w:pPr>
        <w:pStyle w:val="Normal"/>
        <w:autoSpaceDE w:val="false"/>
        <w:ind w:start="60" w:end="0"/>
        <w:rPr>
          <w:sz w:val="24"/>
        </w:rPr>
      </w:pPr>
      <w:r>
        <w:rPr>
          <w:sz w:val="24"/>
        </w:rPr>
      </w:r>
    </w:p>
    <w:p>
      <w:pPr>
        <w:pStyle w:val="Normal"/>
        <w:autoSpaceDE w:val="false"/>
        <w:rPr>
          <w:rStyle w:val="normaltextfont"/>
          <w:rFonts w:ascii="Times New Roman" w:hAnsi="Times New Roman" w:cs="Times New Roman"/>
          <w:color w:val="000000"/>
          <w:sz w:val="24"/>
        </w:rPr>
      </w:pPr>
      <w:r>
        <w:rPr>
          <w:sz w:val="24"/>
        </w:rPr>
        <w:t>Based upon the foregoing and other factors, NiMo filed a petition with the PSC on Jan. 17, 2001 for approval of both its proposed rate plan and merger with National Grid Group</w:t>
      </w:r>
      <w:r>
        <w:rPr>
          <w:rStyle w:val="FootnoteCharacters"/>
          <w:rStyle w:val="FootnoteReference"/>
          <w:sz w:val="24"/>
        </w:rPr>
        <w:footnoteReference w:id="7"/>
      </w:r>
      <w:r>
        <w:rPr>
          <w:sz w:val="24"/>
        </w:rPr>
        <w:t xml:space="preserve">, </w:t>
      </w:r>
      <w:r>
        <w:rPr>
          <w:rStyle w:val="normaltextfont"/>
          <w:rFonts w:cs="Garamond"/>
          <w:color w:val="000000"/>
          <w:sz w:val="24"/>
        </w:rPr>
        <w:t xml:space="preserve">which is acquiring NiMo for $3 billion.  </w:t>
      </w:r>
      <w:r>
        <w:rPr>
          <w:sz w:val="24"/>
        </w:rPr>
        <w:t xml:space="preserve">National Grid (“NU”) and NiMo have received merger-related approval from the New Hampshire Public Utilities Commission and are awaiting approval from regulators in New York, as well as FERC, the Securities and Exchange Commission, and other regulatory agencies.  When completed, the merger will create the ninth largest electric utility in the U.S. with an electric customer base of 3.3 million in addition to 540,000 natural gas customers. </w:t>
      </w:r>
    </w:p>
    <w:p>
      <w:pPr>
        <w:pStyle w:val="Normal"/>
        <w:rPr>
          <w:rStyle w:val="normaltextfont"/>
          <w:rFonts w:ascii="Times New Roman" w:hAnsi="Times New Roman" w:cs="Times New Roman"/>
          <w:color w:val="000000"/>
          <w:sz w:val="24"/>
        </w:rPr>
      </w:pPr>
      <w:r>
        <w:rPr/>
      </w:r>
    </w:p>
    <w:p>
      <w:pPr>
        <w:pStyle w:val="Normal"/>
        <w:rPr/>
      </w:pPr>
      <w:r>
        <w:rPr>
          <w:sz w:val="24"/>
        </w:rPr>
        <w:t>Some of the proposals in NiMo’s merger petition, if approved, will have an impact on NiMo’s existing rate plan.  The</w:t>
      </w:r>
      <w:r>
        <w:rPr>
          <w:rStyle w:val="normaltextfont"/>
          <w:rFonts w:cs="Times New Roman" w:ascii="Times New Roman" w:hAnsi="Times New Roman"/>
          <w:color w:val="000000"/>
          <w:sz w:val="24"/>
        </w:rPr>
        <w:t xml:space="preserve"> </w:t>
      </w:r>
      <w:r>
        <w:rPr>
          <w:rStyle w:val="normaltextfont"/>
          <w:rFonts w:cs="Garamond"/>
          <w:color w:val="000000"/>
          <w:sz w:val="24"/>
        </w:rPr>
        <w:t xml:space="preserve">rate plan proposal includes </w:t>
      </w:r>
      <w:r>
        <w:rPr>
          <w:sz w:val="24"/>
        </w:rPr>
        <w:t xml:space="preserve">a number of initiatives, including: </w:t>
      </w:r>
    </w:p>
    <w:p>
      <w:pPr>
        <w:pStyle w:val="Normal"/>
        <w:ind w:firstLine="720" w:end="0"/>
        <w:rPr>
          <w:sz w:val="24"/>
        </w:rPr>
      </w:pPr>
      <w:r>
        <w:rPr>
          <w:sz w:val="24"/>
        </w:rPr>
      </w:r>
    </w:p>
    <w:p>
      <w:pPr>
        <w:pStyle w:val="Normal"/>
        <w:numPr>
          <w:ilvl w:val="0"/>
          <w:numId w:val="6"/>
        </w:numPr>
        <w:rPr>
          <w:rStyle w:val="normaltextfont"/>
          <w:rFonts w:ascii="Times New Roman" w:hAnsi="Times New Roman" w:cs="Times New Roman"/>
          <w:color w:val="000000"/>
          <w:sz w:val="24"/>
        </w:rPr>
      </w:pPr>
      <w:r>
        <w:rPr>
          <w:rStyle w:val="normaltextfont"/>
          <w:rFonts w:cs="Garamond"/>
          <w:color w:val="000000"/>
          <w:sz w:val="24"/>
        </w:rPr>
        <w:t>lowering delivery rates</w:t>
      </w:r>
      <w:r>
        <w:rPr>
          <w:rStyle w:val="normaltextfont"/>
          <w:rFonts w:cs="Times New Roman" w:ascii="Times New Roman" w:hAnsi="Times New Roman"/>
          <w:color w:val="000000"/>
          <w:sz w:val="24"/>
        </w:rPr>
        <w:t xml:space="preserve">  </w:t>
      </w:r>
    </w:p>
    <w:p>
      <w:pPr>
        <w:pStyle w:val="Normal"/>
        <w:numPr>
          <w:ilvl w:val="0"/>
          <w:numId w:val="6"/>
        </w:numPr>
        <w:rPr>
          <w:color w:val="000000"/>
          <w:sz w:val="24"/>
        </w:rPr>
      </w:pPr>
      <w:r>
        <w:rPr>
          <w:sz w:val="24"/>
        </w:rPr>
        <w:t>offering a price-stabilized commodity service for residential and commercial customers for up to ten years</w:t>
      </w:r>
    </w:p>
    <w:p>
      <w:pPr>
        <w:pStyle w:val="Normal"/>
        <w:numPr>
          <w:ilvl w:val="0"/>
          <w:numId w:val="5"/>
        </w:numPr>
        <w:autoSpaceDE w:val="false"/>
        <w:rPr>
          <w:rStyle w:val="normaltextfont"/>
          <w:rFonts w:ascii="Times New Roman" w:hAnsi="Times New Roman" w:cs="Times New Roman"/>
          <w:color w:val="000000"/>
          <w:sz w:val="24"/>
        </w:rPr>
      </w:pPr>
      <w:r>
        <w:rPr>
          <w:sz w:val="24"/>
        </w:rPr>
        <w:t>extending the current rate settlement for natural gas rates for another year through August 31, 2004.</w:t>
      </w:r>
    </w:p>
    <w:p>
      <w:pPr>
        <w:pStyle w:val="Normal"/>
        <w:rPr>
          <w:rStyle w:val="normaltextfont"/>
          <w:rFonts w:ascii="Times New Roman" w:hAnsi="Times New Roman" w:cs="Times New Roman"/>
          <w:color w:val="000000"/>
          <w:sz w:val="24"/>
        </w:rPr>
      </w:pPr>
      <w:r>
        <w:rPr/>
      </w:r>
    </w:p>
    <w:p>
      <w:pPr>
        <w:pStyle w:val="Normal"/>
        <w:autoSpaceDE w:val="false"/>
        <w:rPr/>
      </w:pPr>
      <w:r>
        <w:rPr>
          <w:sz w:val="24"/>
        </w:rPr>
        <w:t>According to NiMo, price reductions will be produced by the synergies and efficiency gains projected to be realized following the merger.  Lower electricity delivery charges are produced by reducing and restructuring CTC recovery.  Similarly, the commodity charges reflect the levelization of the prices for NiMo’s hedged power supplies to Non-Market Price customers over the next four years, when market prices are forecast to decline.  It should be noted that the merger proposal makes no reference to backout credits for electricity supply for September 2001 through August 2002.  NiMo has asked the Commission to approve its merger and related proposals by June 1, 2001 so that the merger may close in time for its Rate Plan to become effective on September 1, 2001.  Enron is participating in this proceeding and will be submitting comments to the PSC sometime soon.</w:t>
      </w:r>
    </w:p>
    <w:p>
      <w:pPr>
        <w:pStyle w:val="Normal"/>
        <w:rPr>
          <w:rFonts w:ascii="Helv;Arial" w:hAnsi="Helv;Arial" w:cs="Helv;Arial"/>
          <w:color w:val="000000"/>
          <w:sz w:val="24"/>
        </w:rPr>
      </w:pPr>
      <w:r>
        <w:rPr>
          <w:rFonts w:cs="Helv;Arial" w:ascii="Helv;Arial" w:hAnsi="Helv;Arial"/>
          <w:color w:val="000000"/>
          <w:sz w:val="24"/>
        </w:rPr>
      </w:r>
    </w:p>
    <w:p>
      <w:pPr>
        <w:pStyle w:val="Normal"/>
        <w:rPr>
          <w:b/>
          <w:bCs/>
          <w:sz w:val="24"/>
          <w:u w:val="single"/>
        </w:rPr>
      </w:pPr>
      <w:r>
        <w:rPr>
          <w:b/>
          <w:bCs/>
          <w:sz w:val="24"/>
          <w:u w:val="single"/>
        </w:rPr>
        <w:t>New York State Electric And Gas (NYSEG)</w:t>
      </w:r>
    </w:p>
    <w:p>
      <w:pPr>
        <w:pStyle w:val="Normal"/>
        <w:rPr>
          <w:b/>
          <w:bCs/>
          <w:sz w:val="24"/>
          <w:u w:val="single"/>
        </w:rPr>
      </w:pPr>
      <w:r>
        <w:rPr>
          <w:b/>
          <w:bCs/>
          <w:sz w:val="24"/>
          <w:u w:val="single"/>
        </w:rPr>
      </w:r>
    </w:p>
    <w:p>
      <w:pPr>
        <w:pStyle w:val="Normal"/>
        <w:autoSpaceDE w:val="false"/>
        <w:spacing w:lineRule="atLeast" w:line="240"/>
        <w:rPr/>
      </w:pPr>
      <w:r>
        <w:rPr>
          <w:sz w:val="24"/>
        </w:rPr>
        <w:t xml:space="preserve">All </w:t>
      </w:r>
      <w:r>
        <w:rPr>
          <w:color w:val="000000"/>
          <w:sz w:val="24"/>
        </w:rPr>
        <w:t>NYSEG</w:t>
      </w:r>
      <w:r>
        <w:rPr>
          <w:sz w:val="24"/>
        </w:rPr>
        <w:t xml:space="preserve"> electricity customers </w:t>
      </w:r>
      <w:r>
        <w:rPr>
          <w:color w:val="000000"/>
          <w:sz w:val="24"/>
        </w:rPr>
        <w:t xml:space="preserve">have been free to choose their own electricity supplier since August 1999.  However, NYSEG’s original shopping credit (3.56cents) did not provide marketers with an opportunity to offer customers significant savings and customers thereby lacked incentive to switch suppliers.  As a result the PSC, trying to stir up competition for NYSEG electric customers, approved major changes in the way back-out rates are calculated for its customers who buy power from another supplier.  On January 26, 2001 the PSC ordered NYSEG to adopt a market based retail access credit, while maintaining a capped bundled rate. In essence, the change eliminates the fixed credit and replaces it with a new, flexible credit that is based on prices in the state's wholesale electric market. Under the new rates, residential and small commercial customers also will receive a further credit of 0.4 cents per kilowatt hour, while large commercial and industrial customers will receive an additional 0.2 cents per kilowatt credit to reflect other cost savings that NYSEG enjoys when consumers buy their electricity from another supplier.  The market based back-out credit continues until 2003 but gives NYSEG has the right to petition the PSC to restore the fixed back out credit.  </w:t>
      </w:r>
    </w:p>
    <w:p>
      <w:pPr>
        <w:pStyle w:val="Normal"/>
        <w:autoSpaceDE w:val="false"/>
        <w:spacing w:lineRule="atLeast" w:line="240"/>
        <w:rPr>
          <w:color w:val="000000"/>
          <w:sz w:val="24"/>
        </w:rPr>
      </w:pPr>
      <w:r>
        <w:rPr>
          <w:color w:val="000000"/>
          <w:sz w:val="24"/>
        </w:rPr>
      </w:r>
    </w:p>
    <w:p>
      <w:pPr>
        <w:pStyle w:val="Normal"/>
        <w:rPr>
          <w:b/>
          <w:bCs/>
          <w:color w:val="000000"/>
          <w:sz w:val="24"/>
          <w:u w:val="single"/>
        </w:rPr>
      </w:pPr>
      <w:r>
        <w:rPr>
          <w:b/>
          <w:bCs/>
          <w:color w:val="000000"/>
          <w:sz w:val="24"/>
          <w:u w:val="single"/>
        </w:rPr>
        <w:t>Rochester Gas &amp; Electric (RG&amp;E)</w:t>
      </w:r>
    </w:p>
    <w:p>
      <w:pPr>
        <w:pStyle w:val="Normal"/>
        <w:rPr>
          <w:b/>
          <w:bCs/>
          <w:color w:val="000000"/>
          <w:sz w:val="24"/>
          <w:szCs w:val="16"/>
          <w:u w:val="single"/>
        </w:rPr>
      </w:pPr>
      <w:r>
        <w:rPr>
          <w:b/>
          <w:bCs/>
          <w:color w:val="000000"/>
          <w:sz w:val="24"/>
          <w:szCs w:val="16"/>
          <w:u w:val="single"/>
        </w:rPr>
      </w:r>
    </w:p>
    <w:p>
      <w:pPr>
        <w:pStyle w:val="Normal"/>
        <w:rPr>
          <w:color w:val="000000"/>
          <w:sz w:val="24"/>
        </w:rPr>
      </w:pPr>
      <w:r>
        <w:rPr>
          <w:color w:val="000000"/>
          <w:sz w:val="24"/>
        </w:rPr>
        <w:t>On July 1, 2001 all RG&amp;E customers become eligible for retail access.  Most recently, Energy East (parent of NYSEG) and RGS Energy (parent of RG&amp;E) announced that their Boards of Directors have unanimously approved a definitive merger agreement.  It is expected that they will submit a filing with the PSC within the next several weeks.  They anticipate obtaining all regulatory approvals in approximately 12 months.  RGS Energy will become a wholly owned subsidiary of Energy East.  RG&amp;E and NYSEG will be a wholly owned subsidiary of RGS Energy.  According to the companies, the merger is expected to generate an annual cost savings of approximately $50 million.  Prior to the announced merger, the PSC initiated a proceeding to revamp RG&amp;E’s backout credit, which had been locked in at 2.8 cents. The PSC is proposing that the Company adopt a market based retail access credit.</w:t>
      </w:r>
    </w:p>
    <w:p>
      <w:pPr>
        <w:pStyle w:val="Normal"/>
        <w:rPr>
          <w:color w:val="000000"/>
          <w:sz w:val="24"/>
        </w:rPr>
      </w:pPr>
      <w:r>
        <w:rPr>
          <w:color w:val="000000"/>
          <w:sz w:val="24"/>
        </w:rPr>
      </w:r>
    </w:p>
    <w:p>
      <w:pPr>
        <w:pStyle w:val="Normal"/>
        <w:rPr>
          <w:b/>
          <w:bCs/>
          <w:color w:val="000000"/>
          <w:sz w:val="24"/>
          <w:u w:val="single"/>
        </w:rPr>
      </w:pPr>
      <w:r>
        <w:rPr>
          <w:b/>
          <w:bCs/>
          <w:color w:val="000000"/>
          <w:sz w:val="24"/>
          <w:u w:val="single"/>
        </w:rPr>
        <w:t>Orange &amp; Rockland (O&amp;R)</w:t>
      </w:r>
    </w:p>
    <w:p>
      <w:pPr>
        <w:pStyle w:val="Normal"/>
        <w:rPr>
          <w:b/>
          <w:bCs/>
          <w:color w:val="000000"/>
          <w:sz w:val="24"/>
          <w:u w:val="single"/>
        </w:rPr>
      </w:pPr>
      <w:r>
        <w:rPr>
          <w:b/>
          <w:bCs/>
          <w:color w:val="000000"/>
          <w:sz w:val="24"/>
          <w:u w:val="single"/>
        </w:rPr>
      </w:r>
    </w:p>
    <w:p>
      <w:pPr>
        <w:pStyle w:val="Normal"/>
        <w:autoSpaceDE w:val="false"/>
        <w:rPr/>
      </w:pPr>
      <w:r>
        <w:rPr>
          <w:color w:val="000000"/>
          <w:sz w:val="24"/>
        </w:rPr>
        <w:t xml:space="preserve">Orange and Rockland Utilities, Inc. is a wholly owned subsidiary of </w:t>
      </w:r>
      <w:hyperlink r:id="rId2" w:tgtFrame="new">
        <w:r>
          <w:rPr>
            <w:rStyle w:val="Hyperlink"/>
            <w:color w:val="000000"/>
            <w:sz w:val="24"/>
            <w:u w:val="none"/>
          </w:rPr>
          <w:t>Consolidated Edison, Inc.</w:t>
        </w:r>
      </w:hyperlink>
      <w:r>
        <w:rPr>
          <w:color w:val="000000"/>
          <w:sz w:val="24"/>
        </w:rPr>
        <w:t xml:space="preserve">  </w:t>
      </w:r>
      <w:r>
        <w:rPr>
          <w:sz w:val="24"/>
        </w:rPr>
        <w:t xml:space="preserve">The Company and its two utility subsidiaries, Rockland Electric Company and Pike County Light &amp; Power Company, serve a population of roughly 685,000 in seven counties and 96 communities in New York, northern New Jersey and northeastern Pennsylvania. </w:t>
      </w:r>
      <w:r>
        <w:rPr>
          <w:color w:val="000000"/>
          <w:sz w:val="24"/>
        </w:rPr>
        <w:t>As of May 1, 1999, a</w:t>
      </w:r>
      <w:r>
        <w:rPr>
          <w:rFonts w:cs="Arial"/>
          <w:color w:val="000000"/>
          <w:sz w:val="24"/>
          <w:szCs w:val="24"/>
        </w:rPr>
        <w:t>ll O&amp;R retail customers were eligible to contract with an ESCO for energy and capacity supply and related services.</w:t>
      </w:r>
    </w:p>
    <w:p>
      <w:pPr>
        <w:pStyle w:val="Normal"/>
        <w:autoSpaceDE w:val="false"/>
        <w:rPr>
          <w:rFonts w:cs="Arial"/>
          <w:color w:val="000000"/>
          <w:sz w:val="24"/>
          <w:szCs w:val="24"/>
        </w:rPr>
      </w:pPr>
      <w:r>
        <w:rPr>
          <w:rFonts w:cs="Arial"/>
          <w:color w:val="000000"/>
          <w:sz w:val="24"/>
          <w:szCs w:val="24"/>
        </w:rPr>
      </w:r>
    </w:p>
    <w:p>
      <w:pPr>
        <w:pStyle w:val="Normal"/>
        <w:rPr>
          <w:color w:val="000000"/>
          <w:sz w:val="24"/>
        </w:rPr>
      </w:pPr>
      <w:r>
        <w:rPr>
          <w:color w:val="000000"/>
          <w:sz w:val="24"/>
        </w:rPr>
      </w:r>
    </w:p>
    <w:p>
      <w:pPr>
        <w:pStyle w:val="Heading5"/>
        <w:ind w:hanging="0" w:start="0"/>
        <w:rPr>
          <w:b/>
          <w:bCs/>
          <w:sz w:val="28"/>
          <w:u w:val="single"/>
        </w:rPr>
      </w:pPr>
      <w:r>
        <w:rPr>
          <w:b/>
          <w:bCs/>
          <w:sz w:val="28"/>
          <w:u w:val="single"/>
        </w:rPr>
        <w:t xml:space="preserve">OTHER RETAIL PROCEEDINGS </w:t>
      </w:r>
    </w:p>
    <w:p>
      <w:pPr>
        <w:pStyle w:val="Normal"/>
        <w:rPr>
          <w:color w:val="000000"/>
          <w:sz w:val="24"/>
        </w:rPr>
      </w:pPr>
      <w:r>
        <w:rPr>
          <w:color w:val="000000"/>
          <w:sz w:val="24"/>
        </w:rPr>
        <w:t xml:space="preserve">As previously noted, the PSC has initiated a number of proceedings aimed at improving NY’s competitive market. Below is a summary of those proceedings.  </w:t>
      </w:r>
    </w:p>
    <w:p>
      <w:pPr>
        <w:pStyle w:val="Normal"/>
        <w:rPr>
          <w:color w:val="000000"/>
          <w:sz w:val="24"/>
        </w:rPr>
      </w:pPr>
      <w:r>
        <w:rPr>
          <w:color w:val="000000"/>
          <w:sz w:val="24"/>
        </w:rPr>
      </w:r>
    </w:p>
    <w:p>
      <w:pPr>
        <w:pStyle w:val="Heading5"/>
        <w:ind w:hanging="0" w:start="0"/>
        <w:rPr>
          <w:b/>
          <w:bCs/>
          <w:sz w:val="24"/>
          <w:u w:val="single"/>
        </w:rPr>
      </w:pPr>
      <w:r>
        <w:rPr>
          <w:b/>
          <w:bCs/>
          <w:sz w:val="24"/>
          <w:u w:val="single"/>
        </w:rPr>
        <w:t>End-State Proceeding</w:t>
      </w:r>
    </w:p>
    <w:p>
      <w:pPr>
        <w:pStyle w:val="Normal"/>
        <w:autoSpaceDE w:val="false"/>
        <w:rPr>
          <w:b/>
          <w:bCs/>
          <w:sz w:val="24"/>
          <w:u w:val="single"/>
        </w:rPr>
      </w:pPr>
      <w:r>
        <w:rPr>
          <w:b/>
          <w:bCs/>
          <w:sz w:val="24"/>
          <w:u w:val="single"/>
        </w:rPr>
      </w:r>
    </w:p>
    <w:p>
      <w:pPr>
        <w:pStyle w:val="Normal"/>
        <w:autoSpaceDE w:val="false"/>
        <w:rPr/>
      </w:pPr>
      <w:r>
        <w:rPr>
          <w:sz w:val="24"/>
        </w:rPr>
        <w:t xml:space="preserve">In addition to the individual restructuring settlements, the PSC instituted a proceeding in March 2000 "to address the future of the </w:t>
      </w:r>
      <w:r>
        <w:rPr>
          <w:sz w:val="24"/>
          <w:szCs w:val="22"/>
        </w:rPr>
        <w:t>competitive natural gas and electricity markets and the role of the regulated utilities in such markets; to identify and suggest actions to eliminate obstacles to the development of such markets; and to provide recommendations regarding provider of last resort and related issues.” In its Order initiating the proceeding, the PSC reviewed the progress made thus far in opening energy markets in NY to competition and in addressing the associated issues, but it noted as well that some issues can be fully resolved only after retail markets have begun to develop. It summed up the purpose of the proceeding as "to refine our concept of the mature competitive retail energy markets (especially the future role of the regulated utilities) and to identify and remove obstacles to its achievement."  The proceeding is still ongoing.  The PSC Staff has issued a consensus report and a strawman proposal prepared by incorporating comments from a large and diverse group of case participants who have devoted substantial time and effort to working together collaboratively. The major themes evolving include proposals where the utility delivery function will continue to be a monopoly service. The remaining utility functions, including retailing and customer care services, will be competitively provided by non-utility companies</w:t>
      </w:r>
      <w:r>
        <w:rPr>
          <w:i/>
          <w:iCs/>
          <w:sz w:val="24"/>
          <w:szCs w:val="22"/>
        </w:rPr>
        <w:t xml:space="preserve">. </w:t>
      </w:r>
      <w:r>
        <w:rPr>
          <w:sz w:val="24"/>
          <w:szCs w:val="22"/>
        </w:rPr>
        <w:t xml:space="preserve">In the long run, the utilities’ function is expected to be delivery service only, with the utilities directed to cease buying and selling commodity.  However, there has been considerable debate about the time line of an implementation schedule.  The latest proposal under discussion would have the utilities exit the commodity business no later than forty-eight (48) months after an Order is issued in this proceeding.  </w:t>
      </w:r>
      <w:r>
        <w:rPr>
          <w:sz w:val="24"/>
        </w:rPr>
        <w:t>The ongoing proceeding is expected to be completed this summer.</w:t>
      </w:r>
    </w:p>
    <w:p>
      <w:pPr>
        <w:pStyle w:val="Normal"/>
        <w:rPr>
          <w:rFonts w:ascii="Helv;Arial" w:hAnsi="Helv;Arial" w:cs="Helv;Arial"/>
          <w:color w:val="000000"/>
          <w:sz w:val="24"/>
        </w:rPr>
      </w:pPr>
      <w:r>
        <w:rPr>
          <w:rFonts w:cs="Helv;Arial" w:ascii="Helv;Arial" w:hAnsi="Helv;Arial"/>
          <w:color w:val="000000"/>
          <w:sz w:val="24"/>
        </w:rPr>
      </w:r>
    </w:p>
    <w:p>
      <w:pPr>
        <w:pStyle w:val="Heading5"/>
        <w:ind w:hanging="0" w:start="0"/>
        <w:rPr>
          <w:b/>
          <w:bCs/>
          <w:sz w:val="24"/>
          <w:u w:val="single"/>
        </w:rPr>
      </w:pPr>
      <w:r>
        <w:rPr>
          <w:b/>
          <w:bCs/>
          <w:sz w:val="24"/>
          <w:u w:val="single"/>
        </w:rPr>
        <w:t>Competitive Billing</w:t>
      </w:r>
    </w:p>
    <w:p>
      <w:pPr>
        <w:pStyle w:val="Normal"/>
        <w:rPr>
          <w:b/>
          <w:bCs/>
          <w:sz w:val="24"/>
          <w:u w:val="single"/>
        </w:rPr>
      </w:pPr>
      <w:r>
        <w:rPr>
          <w:b/>
          <w:bCs/>
          <w:sz w:val="24"/>
          <w:u w:val="single"/>
        </w:rPr>
      </w:r>
    </w:p>
    <w:p>
      <w:pPr>
        <w:pStyle w:val="Normal"/>
        <w:rPr>
          <w:sz w:val="24"/>
        </w:rPr>
      </w:pPr>
      <w:r>
        <w:rPr>
          <w:sz w:val="24"/>
        </w:rPr>
        <w:t>In late 1998, the PSC issued a Discussion Paper addressing various billing options in a restructured electric industry, including a proposal to bundle transmission and distribution charges on a Single Consolidated Supplier Bill.  On May 13, 1999, the PSC decided to release for comment Staff's single bill proposal. On June 7, 1999, the PSC issued a Notice Requesting Comments in reference to the proposed ESCO Single Bill, the Single Retailer Model, and the cost of implementing these services. On March 22, 2000, the PSC approved a recommendation regarding uniform utility or supplier consolidated bills. The order permits suppliers to bill for gas and electric services on a single bill. Credits must be backed-out of rates, with historic cost data being the basis until detailed cost studies on long-run avoided costs are performed. Draft tariff amendments were filed in April 2000, with formal tariff amendments, credits, and billing charges due in June 2000 and effective October 2000. Requests for Rehearing have been filed, which has delayed the due date for utilities to file their tariff amendments. Tariff amendments will not be due in late June, but 60 days after the PSC's order on rehearing. NYSEG has filed a rehearing request arguing against supplier-consolidated bills.</w:t>
      </w:r>
    </w:p>
    <w:p>
      <w:pPr>
        <w:pStyle w:val="Normal"/>
        <w:rPr>
          <w:rFonts w:ascii="Helv;Arial" w:hAnsi="Helv;Arial" w:cs="Helv;Arial"/>
          <w:color w:val="000000"/>
          <w:sz w:val="24"/>
        </w:rPr>
      </w:pPr>
      <w:r>
        <w:rPr>
          <w:rFonts w:cs="Helv;Arial" w:ascii="Helv;Arial" w:hAnsi="Helv;Arial"/>
          <w:color w:val="000000"/>
          <w:sz w:val="24"/>
        </w:rPr>
      </w:r>
    </w:p>
    <w:p>
      <w:pPr>
        <w:pStyle w:val="Normal"/>
        <w:rPr>
          <w:rFonts w:ascii="Helv;Arial" w:hAnsi="Helv;Arial" w:cs="Helv;Arial"/>
          <w:color w:val="000000"/>
          <w:sz w:val="24"/>
        </w:rPr>
      </w:pPr>
      <w:r>
        <w:rPr>
          <w:rFonts w:cs="Helv;Arial" w:ascii="Helv;Arial" w:hAnsi="Helv;Arial"/>
          <w:color w:val="000000"/>
          <w:sz w:val="24"/>
        </w:rPr>
      </w:r>
    </w:p>
    <w:p>
      <w:pPr>
        <w:pStyle w:val="Normal"/>
        <w:rPr>
          <w:b/>
          <w:bCs/>
          <w:sz w:val="24"/>
          <w:u w:val="single"/>
        </w:rPr>
      </w:pPr>
      <w:r>
        <w:rPr>
          <w:b/>
          <w:bCs/>
          <w:sz w:val="24"/>
          <w:u w:val="single"/>
        </w:rPr>
        <w:t>Competitive Metering</w:t>
      </w:r>
    </w:p>
    <w:p>
      <w:pPr>
        <w:pStyle w:val="Normal"/>
        <w:rPr>
          <w:b/>
          <w:bCs/>
          <w:sz w:val="24"/>
          <w:u w:val="single"/>
        </w:rPr>
      </w:pPr>
      <w:r>
        <w:rPr>
          <w:b/>
          <w:bCs/>
          <w:sz w:val="24"/>
          <w:u w:val="single"/>
        </w:rPr>
      </w:r>
    </w:p>
    <w:p>
      <w:pPr>
        <w:pStyle w:val="Normal"/>
        <w:rPr>
          <w:sz w:val="24"/>
        </w:rPr>
      </w:pPr>
      <w:r>
        <w:rPr>
          <w:sz w:val="24"/>
        </w:rPr>
        <w:t>On June 16, 1999, the Public Service Commission issued an Order providing for competitive metering that will open up electric metering services for some customers in New York State to competition.  Backout credits are to be based on long run avoided costs. As a result of the Order, customers will be able to procure meters and various metering services, such as meter installation and meter reading, from competitive entities, instead of only from the utilities.  The competitive metering Order adopted by the Commission was the result of a lengthy public process in which representatives of residential consumers, commercial and industrial energy customers, energy service companies (ESCOs), labor unions, meter manufacturers, utilities and other interested parties participated.  Competitive metering will open up initially to about 40,000 large energy users in the state, those whose peak electricity requirements amount to at least 50 kilowatts in two consecutive months. The Commission will determine eligibility of ESCOs, meter service providers and meter data services providers to perform metering and meter data services.  A proceeding was recently concluded by the PSC to establish the backout credits that will be available once this service becomes competitive.</w:t>
      </w:r>
    </w:p>
    <w:p>
      <w:pPr>
        <w:pStyle w:val="Normal"/>
        <w:rPr>
          <w:sz w:val="24"/>
        </w:rPr>
      </w:pPr>
      <w:r>
        <w:rPr>
          <w:sz w:val="24"/>
        </w:rPr>
      </w:r>
    </w:p>
    <w:p>
      <w:pPr>
        <w:pStyle w:val="Heading5"/>
        <w:ind w:hanging="0" w:start="0"/>
        <w:rPr>
          <w:b/>
          <w:bCs/>
          <w:sz w:val="24"/>
          <w:u w:val="single"/>
        </w:rPr>
      </w:pPr>
      <w:r>
        <w:rPr>
          <w:b/>
          <w:bCs/>
          <w:sz w:val="24"/>
          <w:u w:val="single"/>
        </w:rPr>
        <w:t>EDI Collaborative</w:t>
      </w:r>
    </w:p>
    <w:p>
      <w:pPr>
        <w:pStyle w:val="Normal"/>
        <w:rPr>
          <w:b/>
          <w:bCs/>
          <w:sz w:val="24"/>
          <w:u w:val="single"/>
        </w:rPr>
      </w:pPr>
      <w:r>
        <w:rPr>
          <w:b/>
          <w:bCs/>
          <w:sz w:val="24"/>
          <w:u w:val="single"/>
        </w:rPr>
      </w:r>
    </w:p>
    <w:p>
      <w:pPr>
        <w:pStyle w:val="Normal"/>
        <w:rPr>
          <w:sz w:val="24"/>
        </w:rPr>
      </w:pPr>
      <w:r>
        <w:rPr>
          <w:sz w:val="24"/>
        </w:rPr>
        <w:t xml:space="preserve">On April 29, 1998, the PSC authorized staff to review utilities' customer information systems to determine their adequacy in an evolving competitive market. On July 15, 1998, staff recommended initiation of a collaborative to implement standardized electronic data transfer protocols. Working groups and subgroups were established and, in late December 1998, subgroups filed interim reports addressing enrollment, billing, and administrative processes. In late June 1999, the Working Group filed a report to the PSC. The Working Group resumed meeting in September 1999, with the ALJ directing the parties to review problems with EDI in other states and to develop any alternative recommendations by mid-October 1999. A number of the utilities are arguing that EDI is not the appropriate medium for information exchange between suppliers and utilities, despite the Working Group's initial report. As of February 2000, the Working Group is on-going, with an order announced in February 29, 2000 requiring utilities to file plans for implementation of EDI for enrollment and billing by mid-April 2000 for implementation by all market participants in 2001. On April 12, 2000, an order on EDI implementation was issued, with EDI to commence by 2001. Implementation plans were filed by the utilities in late May 2000, with comments due in mid-June 2000. The data transfer mechanism subgroup developed a recommendation, which was submitted to the Commission in late June 2000. A technical profile Task Force is developing the profile for the subgroup's review. An October 10, 2000 filing, the Working Group addressed: proposed business processes for enrolling and dropping customers in an EDI environment, EDI standards for the TS814 Enrollment and Drop transactions, a recommendation on a data transfer mechanism, a proposed EDI testing plan, an EDI architectural framework, and website guidelines. Comments were due by December 18, 2000. </w:t>
      </w:r>
    </w:p>
    <w:p>
      <w:pPr>
        <w:pStyle w:val="Normal"/>
        <w:autoSpaceDE w:val="false"/>
        <w:spacing w:lineRule="atLeast" w:line="240"/>
        <w:ind w:start="72" w:end="0"/>
        <w:rPr>
          <w:rFonts w:cs="Arial"/>
          <w:color w:val="000000"/>
          <w:sz w:val="24"/>
        </w:rPr>
      </w:pPr>
      <w:r>
        <w:rPr>
          <w:rFonts w:cs="Arial"/>
          <w:color w:val="000000"/>
          <w:sz w:val="24"/>
        </w:rPr>
      </w:r>
    </w:p>
    <w:p>
      <w:pPr>
        <w:pStyle w:val="Heading5"/>
        <w:ind w:hanging="0" w:start="0"/>
        <w:rPr>
          <w:b/>
          <w:bCs/>
          <w:sz w:val="24"/>
          <w:u w:val="single"/>
        </w:rPr>
      </w:pPr>
      <w:r>
        <w:rPr>
          <w:b/>
          <w:bCs/>
          <w:sz w:val="24"/>
          <w:u w:val="single"/>
        </w:rPr>
        <w:t xml:space="preserve">Increase in the System Benefit Charge </w:t>
      </w:r>
    </w:p>
    <w:p>
      <w:pPr>
        <w:pStyle w:val="Normal"/>
        <w:rPr>
          <w:b/>
          <w:bCs/>
          <w:sz w:val="24"/>
          <w:u w:val="single"/>
        </w:rPr>
      </w:pPr>
      <w:r>
        <w:rPr>
          <w:b/>
          <w:bCs/>
          <w:sz w:val="24"/>
          <w:u w:val="single"/>
        </w:rPr>
      </w:r>
    </w:p>
    <w:p>
      <w:pPr>
        <w:pStyle w:val="Normal"/>
        <w:rPr/>
      </w:pPr>
      <w:r>
        <w:rPr>
          <w:sz w:val="24"/>
        </w:rPr>
        <w:t>In January, the PSC unanimously voted to extend</w:t>
      </w:r>
      <w:r>
        <w:rPr>
          <w:rStyle w:val="normaltextfont"/>
          <w:rFonts w:cs="Garamond"/>
          <w:color w:val="000000"/>
          <w:sz w:val="24"/>
        </w:rPr>
        <w:t xml:space="preserve"> the System Benefit Charge (“SBC”) which had been scheduled to expire in June.  </w:t>
      </w:r>
      <w:r>
        <w:rPr>
          <w:sz w:val="24"/>
          <w:szCs w:val="21"/>
        </w:rPr>
        <w:t>The PSC Order extended the SBC program through July 31, 2006 and established higher utility collection amounts (from $78 million to an annual level of $150 million) effective beginning in calendar year 2001 and continuing through mid-2006.</w:t>
      </w:r>
      <w:r>
        <w:rPr>
          <w:rStyle w:val="normaltextfont"/>
          <w:rFonts w:cs="Garamond"/>
          <w:color w:val="000000"/>
          <w:sz w:val="24"/>
        </w:rPr>
        <w:t xml:space="preserve">  The fees -- paid by all electricity consumers - -will be used to find ways </w:t>
      </w:r>
      <w:r>
        <w:rPr>
          <w:sz w:val="24"/>
          <w:szCs w:val="21"/>
        </w:rPr>
        <w:t xml:space="preserve">to promote competitive markets for energy efficiency and low-income services, research and development (R&amp;D), and environmental protection.  In addition, the extended program will support new electricity peak demand and price sensitive load initiatives now being developed under the direction of the PSC’s Price and Reliability Task Force.  </w:t>
      </w:r>
      <w:r>
        <w:rPr>
          <w:rStyle w:val="normaltextfont"/>
          <w:rFonts w:cs="Garamond"/>
          <w:color w:val="000000"/>
          <w:sz w:val="24"/>
        </w:rPr>
        <w:t>The New York Energy Research Development Authority (NYSERDA), which issues grants for projects, will administer the funds.  Enron may be able to use the increased fund for p</w:t>
      </w:r>
      <w:r>
        <w:rPr>
          <w:sz w:val="24"/>
        </w:rPr>
        <w:t>otential commercial opportunities.</w:t>
      </w:r>
    </w:p>
    <w:p>
      <w:pPr>
        <w:pStyle w:val="Normal"/>
        <w:rPr>
          <w:sz w:val="24"/>
        </w:rPr>
      </w:pPr>
      <w:r>
        <w:rPr>
          <w:sz w:val="24"/>
        </w:rPr>
      </w:r>
    </w:p>
    <w:p>
      <w:pPr>
        <w:pStyle w:val="Heading5"/>
        <w:ind w:hanging="0" w:start="0"/>
        <w:rPr>
          <w:b/>
          <w:bCs/>
          <w:sz w:val="24"/>
          <w:u w:val="single"/>
        </w:rPr>
      </w:pPr>
      <w:r>
        <w:rPr>
          <w:b/>
          <w:bCs/>
          <w:sz w:val="24"/>
          <w:u w:val="single"/>
        </w:rPr>
        <w:t>Sales Tax Incentive Legislation to Encourage Competition</w:t>
      </w:r>
    </w:p>
    <w:p>
      <w:pPr>
        <w:pStyle w:val="Normal"/>
        <w:rPr>
          <w:b/>
          <w:bCs/>
          <w:sz w:val="24"/>
          <w:u w:val="single"/>
        </w:rPr>
      </w:pPr>
      <w:r>
        <w:rPr>
          <w:b/>
          <w:bCs/>
          <w:sz w:val="24"/>
          <w:u w:val="single"/>
        </w:rPr>
      </w:r>
    </w:p>
    <w:p>
      <w:pPr>
        <w:pStyle w:val="Normal"/>
        <w:rPr>
          <w:color w:val="000000"/>
          <w:sz w:val="24"/>
        </w:rPr>
      </w:pPr>
      <w:r>
        <w:rPr>
          <w:color w:val="000000"/>
          <w:sz w:val="24"/>
        </w:rPr>
        <w:t>NY has implemented energy-related tax cut legislation that will have significant commercial potential for EES.  The New York Legislature has approved a series of energy-related tax cuts and incentives as part of the state's 2000-01 budget.  Effective September 1, 2000 customers who elect to switch their energy supplier (from a utility to an ESCO) will receive a reduction in sales tax on their transmission and delivery portion of their gas and electricity bill.  The reduction in sales tax on the T &amp; D portion will take place in equal increments over a four-year period beginning September 1, 2000.  In effect, customers who elect to switch electricity suppliers will be allowed to deduct a percentage of sales tax on T&amp;D charges according to the following schedule:</w:t>
      </w:r>
    </w:p>
    <w:p>
      <w:pPr>
        <w:pStyle w:val="Normal"/>
        <w:rPr>
          <w:color w:val="000000"/>
          <w:sz w:val="24"/>
        </w:rPr>
      </w:pPr>
      <w:r>
        <w:rPr>
          <w:color w:val="000000"/>
          <w:sz w:val="24"/>
        </w:rPr>
      </w:r>
    </w:p>
    <w:p>
      <w:pPr>
        <w:pStyle w:val="Normal"/>
        <w:rPr>
          <w:color w:val="000000"/>
          <w:sz w:val="24"/>
        </w:rPr>
      </w:pPr>
      <w:r>
        <w:rPr>
          <w:color w:val="000000"/>
          <w:sz w:val="24"/>
        </w:rPr>
        <w:t>September 1, 2000—25% Reduction</w:t>
      </w:r>
    </w:p>
    <w:p>
      <w:pPr>
        <w:pStyle w:val="Normal"/>
        <w:rPr>
          <w:color w:val="000000"/>
          <w:sz w:val="24"/>
        </w:rPr>
      </w:pPr>
      <w:r>
        <w:rPr>
          <w:color w:val="000000"/>
          <w:sz w:val="24"/>
        </w:rPr>
        <w:t>September 1, 2001—50% Reduction</w:t>
      </w:r>
    </w:p>
    <w:p>
      <w:pPr>
        <w:pStyle w:val="Normal"/>
        <w:rPr>
          <w:color w:val="000000"/>
          <w:sz w:val="24"/>
        </w:rPr>
      </w:pPr>
      <w:r>
        <w:rPr>
          <w:color w:val="000000"/>
          <w:sz w:val="24"/>
        </w:rPr>
        <w:t>September 1, 2002 – 75% Reduction</w:t>
      </w:r>
    </w:p>
    <w:p>
      <w:pPr>
        <w:pStyle w:val="Normal"/>
        <w:rPr>
          <w:color w:val="000000"/>
          <w:sz w:val="24"/>
        </w:rPr>
      </w:pPr>
      <w:r>
        <w:rPr>
          <w:color w:val="000000"/>
          <w:sz w:val="24"/>
        </w:rPr>
        <w:t>September 1, 2003 – 100% Reduction  = total elimination of sales tax on T&amp;D charges</w:t>
      </w:r>
    </w:p>
    <w:p>
      <w:pPr>
        <w:pStyle w:val="Normal"/>
        <w:rPr>
          <w:color w:val="000000"/>
          <w:sz w:val="24"/>
        </w:rPr>
      </w:pPr>
      <w:r>
        <w:rPr>
          <w:color w:val="000000"/>
          <w:sz w:val="24"/>
        </w:rPr>
      </w:r>
    </w:p>
    <w:p>
      <w:pPr>
        <w:pStyle w:val="Normal"/>
        <w:rPr>
          <w:rFonts w:cs="Arial"/>
          <w:color w:val="000000"/>
          <w:sz w:val="24"/>
        </w:rPr>
      </w:pPr>
      <w:r>
        <w:rPr>
          <w:sz w:val="24"/>
        </w:rPr>
        <w:t xml:space="preserve">This tax cut legislation should entice many of ConEd’s customers to switch to ESCOs as they typically have both higher T &amp; D rates and sales tax rates.  For example, a commercial customer in NYC who pays 8.25% sales tax would save 2.062% on their T&amp;D portion of their bill this year and 4.125%; 6.187% and; 8.250% respectively thereafter each year. </w:t>
      </w:r>
    </w:p>
    <w:p>
      <w:pPr>
        <w:pStyle w:val="Normal"/>
        <w:autoSpaceDE w:val="false"/>
        <w:spacing w:lineRule="atLeast" w:line="240"/>
        <w:ind w:start="72" w:end="0"/>
        <w:rPr>
          <w:rFonts w:cs="Arial"/>
          <w:b/>
          <w:bCs/>
          <w:color w:val="000000"/>
          <w:sz w:val="24"/>
        </w:rPr>
      </w:pPr>
      <w:r>
        <w:rPr>
          <w:rFonts w:cs="Arial"/>
          <w:b/>
          <w:bCs/>
          <w:color w:val="000000"/>
          <w:sz w:val="24"/>
        </w:rPr>
      </w:r>
    </w:p>
    <w:p>
      <w:pPr>
        <w:pStyle w:val="BodyText"/>
        <w:ind w:hanging="0" w:end="0"/>
        <w:rPr>
          <w:rFonts w:eastAsia="Garamond"/>
          <w:sz w:val="24"/>
        </w:rPr>
      </w:pPr>
      <w:r>
        <w:rPr>
          <w:rFonts w:eastAsia="Garamond"/>
          <w:sz w:val="24"/>
        </w:rPr>
        <w:t xml:space="preserve"> </w:t>
      </w:r>
      <w:r>
        <w:br w:type="page"/>
      </w:r>
    </w:p>
    <w:p>
      <w:pPr>
        <w:pStyle w:val="Heading5"/>
        <w:ind w:hanging="0" w:start="0"/>
        <w:jc w:val="center"/>
        <w:rPr>
          <w:b/>
          <w:bCs/>
          <w:sz w:val="28"/>
        </w:rPr>
      </w:pPr>
      <w:r>
        <w:rPr>
          <w:b/>
          <w:bCs/>
          <w:sz w:val="28"/>
        </w:rPr>
        <w:t>POLITICAL PLAYERS</w:t>
      </w:r>
    </w:p>
    <w:p>
      <w:pPr>
        <w:pStyle w:val="Normal"/>
        <w:rPr>
          <w:b/>
          <w:bCs/>
          <w:sz w:val="24"/>
        </w:rPr>
      </w:pPr>
      <w:r>
        <w:rPr>
          <w:b/>
          <w:bCs/>
          <w:sz w:val="24"/>
        </w:rPr>
      </w:r>
    </w:p>
    <w:p>
      <w:pPr>
        <w:pStyle w:val="Normal"/>
        <w:rPr>
          <w:sz w:val="24"/>
        </w:rPr>
      </w:pPr>
      <w:r>
        <w:rPr>
          <w:color w:val="000000"/>
          <w:sz w:val="24"/>
        </w:rPr>
        <w:t>Gov. Pataki’s second terms ends in 2002.  All signs indicate that he will seek a third term, notwithstanding his original campaign pledge to impose a two-term limit.  His Democratic opponents are State Comptroller Carl McCall and former HUD Secretary Andrew Cuomo. Carl McCall has already issued a report criticizing Gov. Pataki’s energy policies.  Specifically, McCall criticized Pataki for what he called four years of  “</w:t>
      </w:r>
      <w:r>
        <w:rPr>
          <w:sz w:val="24"/>
        </w:rPr>
        <w:t>misguided implementation of deregulation</w:t>
      </w:r>
      <w:r>
        <w:rPr>
          <w:rFonts w:cs="Times New Roman" w:ascii="Times New Roman" w:hAnsi="Times New Roman"/>
          <w:sz w:val="24"/>
        </w:rPr>
        <w:t>”</w:t>
      </w:r>
      <w:r>
        <w:rPr>
          <w:sz w:val="24"/>
        </w:rPr>
        <w:t xml:space="preserve"> which he blames as the cause of NY’s energy prices being</w:t>
      </w:r>
      <w:r>
        <w:rPr>
          <w:sz w:val="24"/>
        </w:rPr>
        <w:t xml:space="preserve"> 70 percent above the national average. </w:t>
      </w:r>
      <w:r>
        <w:rPr>
          <w:color w:val="000000"/>
          <w:sz w:val="24"/>
        </w:rPr>
        <w:t>Although not going as far as to advocate re-regulation, McCall stated, “d</w:t>
      </w:r>
      <w:r>
        <w:rPr>
          <w:sz w:val="24"/>
        </w:rPr>
        <w:t>eregulation in New York is a good idea done poorly.</w:t>
      </w:r>
      <w:r>
        <w:rPr>
          <w:rFonts w:cs="Times New Roman" w:ascii="Times New Roman" w:hAnsi="Times New Roman"/>
          <w:sz w:val="24"/>
        </w:rPr>
        <w:t>”</w:t>
      </w:r>
    </w:p>
    <w:p>
      <w:pPr>
        <w:pStyle w:val="Normal"/>
        <w:rPr>
          <w:color w:val="000000"/>
          <w:sz w:val="24"/>
        </w:rPr>
      </w:pPr>
      <w:r>
        <w:rPr>
          <w:color w:val="000000"/>
          <w:sz w:val="24"/>
        </w:rPr>
      </w:r>
    </w:p>
    <w:p>
      <w:pPr>
        <w:pStyle w:val="Normal"/>
        <w:autoSpaceDE w:val="false"/>
        <w:spacing w:lineRule="atLeast" w:line="240"/>
        <w:ind w:start="72" w:end="0"/>
        <w:rPr/>
      </w:pPr>
      <w:r>
        <w:rPr>
          <w:rFonts w:cs="Arial"/>
          <w:color w:val="000000"/>
          <w:sz w:val="24"/>
        </w:rPr>
        <w:t xml:space="preserve">New York City Mayor </w:t>
      </w:r>
      <w:r>
        <w:rPr>
          <w:sz w:val="24"/>
          <w:szCs w:val="36"/>
        </w:rPr>
        <w:t>Rudolph Giuliani’s</w:t>
      </w:r>
      <w:r>
        <w:rPr>
          <w:rFonts w:cs="Times New Roman" w:ascii="Times New Roman" w:hAnsi="Times New Roman"/>
          <w:sz w:val="36"/>
          <w:szCs w:val="36"/>
        </w:rPr>
        <w:t xml:space="preserve"> </w:t>
      </w:r>
      <w:r>
        <w:rPr>
          <w:rFonts w:cs="Arial"/>
          <w:color w:val="000000"/>
          <w:sz w:val="24"/>
        </w:rPr>
        <w:t xml:space="preserve">term in office expires at the end of 2001.  He is precluded from seeking reelection because of NYC term limit rules.   To date, the </w:t>
      </w:r>
      <w:r>
        <w:rPr>
          <w:sz w:val="24"/>
          <w:szCs w:val="36"/>
        </w:rPr>
        <w:t>Giuliani</w:t>
      </w:r>
      <w:r>
        <w:rPr>
          <w:rFonts w:cs="Arial"/>
          <w:color w:val="000000"/>
          <w:sz w:val="24"/>
        </w:rPr>
        <w:t xml:space="preserve"> administration has been a strong advocate at the ISO in favor of market intervention tools to protect ConEd ratepayers from price volatility.</w:t>
      </w:r>
    </w:p>
    <w:p>
      <w:pPr>
        <w:pStyle w:val="Normal"/>
        <w:autoSpaceDE w:val="false"/>
        <w:spacing w:lineRule="atLeast" w:line="240"/>
        <w:ind w:start="72" w:end="0"/>
        <w:rPr>
          <w:rFonts w:cs="Arial"/>
          <w:color w:val="000000"/>
          <w:sz w:val="24"/>
        </w:rPr>
      </w:pPr>
      <w:r>
        <w:rPr>
          <w:rFonts w:cs="Arial"/>
          <w:color w:val="000000"/>
          <w:sz w:val="24"/>
        </w:rPr>
      </w:r>
    </w:p>
    <w:p>
      <w:pPr>
        <w:pStyle w:val="Normal"/>
        <w:rPr/>
      </w:pPr>
      <w:r>
        <w:rPr>
          <w:sz w:val="24"/>
        </w:rPr>
        <w:t xml:space="preserve">In other news, US Senator Charles Schumer has been quoted in the papers lately opposing the attempt by utilities to pass through energy commodity costs.  In a letter to the PSC in January, </w:t>
      </w:r>
      <w:r>
        <w:rPr>
          <w:rStyle w:val="nonproportionaltextfont"/>
          <w:rFonts w:cs="Garamond"/>
          <w:color w:val="000000"/>
          <w:sz w:val="24"/>
        </w:rPr>
        <w:t>Senator Schumer argued that utilities ought to bear the risk until the energy markets are better developed and genuinely competitive.  Senator Schumer has made recent similar objections to the pass thru of market based prices to ConEd’s customers.</w:t>
      </w:r>
      <w:r>
        <w:rPr>
          <w:rStyle w:val="nonproportionaltextfont"/>
          <w:color w:val="000000"/>
          <w:sz w:val="24"/>
        </w:rPr>
        <w:t xml:space="preserve">  </w:t>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Georgia">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center"/>
      <w:rPr/>
    </w:pPr>
    <w:r>
      <w:rPr/>
      <w:tab/>
      <w:tab/>
      <w:tab/>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Garamond" w:ascii="Garamond" w:hAnsi="Garamond"/>
          <w:sz w:val="20"/>
        </w:rPr>
        <w:t>The Republican State Senate has shown little interest in any legislative approach to deregulation. They are content to allow their Governor and the PSC to proceed with their ongoing efforts. The Democratic State Assembly has pushed for a legislative solution since 1996. Each year they approve a comprehensive bill that is never acted on by the Senate.</w:t>
      </w:r>
    </w:p>
  </w:footnote>
  <w:footnote w:id="3">
    <w:p>
      <w:pPr>
        <w:pStyle w:val="Normal"/>
        <w:autoSpaceDE w:val="false"/>
        <w:spacing w:lineRule="atLeast" w:line="240"/>
        <w:ind w:start="72" w:end="0"/>
        <w:rPr/>
      </w:pPr>
      <w:r>
        <w:rPr>
          <w:rStyle w:val="FootnoteCharacters"/>
        </w:rPr>
        <w:footnoteRef/>
      </w:r>
      <w:r>
        <w:rPr/>
        <w:t xml:space="preserve"> </w:t>
      </w:r>
      <w:r>
        <w:rPr>
          <w:rFonts w:cs="Arial"/>
          <w:color w:val="000000"/>
          <w:sz w:val="20"/>
        </w:rPr>
        <w:t>The NYISO administers the most complicated of the LMP type systems being implemented by the various ISOs.</w:t>
      </w:r>
    </w:p>
    <w:p>
      <w:pPr>
        <w:pStyle w:val="FootnoteText"/>
        <w:rPr>
          <w:rFonts w:cs="Arial"/>
          <w:color w:val="000000"/>
          <w:sz w:val="20"/>
        </w:rPr>
      </w:pPr>
      <w:r>
        <w:rPr>
          <w:rFonts w:cs="Arial"/>
          <w:color w:val="000000"/>
          <w:sz w:val="20"/>
        </w:rPr>
      </w:r>
    </w:p>
  </w:footnote>
  <w:footnote w:id="4">
    <w:p>
      <w:pPr>
        <w:pStyle w:val="FootnoteText"/>
        <w:rPr/>
      </w:pPr>
      <w:r>
        <w:rPr>
          <w:rStyle w:val="FootnoteCharacters"/>
        </w:rPr>
        <w:footnoteRef/>
      </w:r>
      <w:r>
        <w:rPr/>
        <w:t xml:space="preserve"> </w:t>
      </w:r>
      <w:r>
        <w:rPr>
          <w:rFonts w:cs="Garamond" w:ascii="Garamond" w:hAnsi="Garamond"/>
          <w:sz w:val="20"/>
        </w:rPr>
        <w:t>On March 1, ConEd made a filing with FERC requesting four major changes to the in-City mitigation program that would have wide spread impacts not only on existing In-City units but on proposed projects as well.</w:t>
      </w:r>
    </w:p>
  </w:footnote>
  <w:footnote w:id="5">
    <w:p>
      <w:pPr>
        <w:pStyle w:val="FootnoteText"/>
        <w:rPr/>
      </w:pPr>
      <w:r>
        <w:rPr>
          <w:rStyle w:val="FootnoteCharacters"/>
        </w:rPr>
        <w:footnoteRef/>
      </w:r>
      <w:r>
        <w:rPr/>
        <w:t xml:space="preserve"> </w:t>
      </w:r>
      <w:r>
        <w:rPr>
          <w:rFonts w:cs="Garamond" w:ascii="Garamond" w:hAnsi="Garamond"/>
          <w:sz w:val="20"/>
        </w:rPr>
        <w:t>Please see the attachment summarizing the PSC’s November 2000 Report on Electric Retail Access Migration.</w:t>
      </w:r>
      <w:r>
        <w:rPr>
          <w:sz w:val="18"/>
        </w:rPr>
        <w:t xml:space="preserve">   </w:t>
      </w:r>
    </w:p>
  </w:footnote>
  <w:footnote w:id="6">
    <w:p>
      <w:pPr>
        <w:pStyle w:val="FootnoteText"/>
        <w:rPr/>
      </w:pPr>
      <w:r>
        <w:rPr>
          <w:rStyle w:val="FootnoteCharacters"/>
        </w:rPr>
        <w:footnoteRef/>
      </w:r>
      <w:r>
        <w:rPr/>
        <w:t xml:space="preserve"> </w:t>
      </w:r>
      <w:r>
        <w:rPr>
          <w:rFonts w:cs="Garamond" w:ascii="Garamond" w:hAnsi="Garamond"/>
          <w:sz w:val="18"/>
        </w:rPr>
        <w:t>CH finalized the sale of its interest in the Roseton and Danskammer electric generating plants in the Town of Newburgh on January 30, 2001. CH was the sole owner of the 500-megawatt Danskammer Plant; and owned 35 percent of the 1,200-megawatt Roseton Plant, was co-owned by Niagara Mohawk Power Corporation (25 percent) and Consolidated Edison (40 percent). The sale price for both plants was $903 million. Central Hudson's estimated share of the sale, after recovery of taxes and undepreciated book costs, is approximately $296 million.</w:t>
      </w:r>
      <w:r>
        <w:rPr/>
        <w:t xml:space="preserve"> </w:t>
      </w:r>
    </w:p>
    <w:p>
      <w:pPr>
        <w:pStyle w:val="FootnoteText"/>
        <w:rPr/>
      </w:pPr>
      <w:r>
        <w:rPr/>
      </w:r>
    </w:p>
  </w:footnote>
  <w:footnote w:id="7">
    <w:p>
      <w:pPr>
        <w:pStyle w:val="FootnoteText"/>
        <w:rPr/>
      </w:pPr>
      <w:r>
        <w:rPr>
          <w:rStyle w:val="FootnoteCharacters"/>
        </w:rPr>
        <w:footnoteRef/>
      </w:r>
      <w:r>
        <w:rPr/>
        <w:t xml:space="preserve"> </w:t>
      </w:r>
      <w:r>
        <w:rPr>
          <w:rFonts w:cs="Garamond" w:ascii="Garamond" w:hAnsi="Garamond"/>
          <w:sz w:val="18"/>
        </w:rPr>
        <w:t>National Grid USA has four retail electric companies that serve more than 1.7 million customers in   Massachusetts, Rhode Island, and New Hampshire, and a substantial transmission business.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ind w:hanging="0" w:start="0" w:end="0"/>
      <w:jc w:val="center"/>
      <w:rPr/>
    </w:pPr>
    <w:r>
      <w:rPr/>
      <w:t>NY Regulatory Update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ind w:hanging="0" w:start="0" w:end="0"/>
      <w:jc w:val="cent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80"/>
        </w:tabs>
        <w:ind w:start="258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bullet"/>
      <w:lvlText w:val=""/>
      <w:lvlJc w:val="start"/>
      <w:pPr>
        <w:tabs>
          <w:tab w:val="num" w:pos="2880"/>
        </w:tabs>
        <w:ind w:start="2880" w:hanging="360"/>
      </w:pPr>
      <w:rPr>
        <w:rFonts w:ascii="Symbol" w:hAnsi="Symbol" w:cs="Symbol" w:hint="default"/>
      </w:rPr>
    </w:lvl>
    <w:lvl w:ilvl="4">
      <w:start w:val="4"/>
      <w:numFmt w:val="decimal"/>
      <w:lvlText w:val="%5)"/>
      <w:lvlJc w:val="start"/>
      <w:pPr>
        <w:tabs>
          <w:tab w:val="num" w:pos="3600"/>
        </w:tabs>
        <w:ind w:start="3600" w:hanging="360"/>
      </w:pPr>
      <w:rPr>
        <w:rFonts w:ascii="Garamond" w:hAnsi="Garamond" w:cs="Garamond"/>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abstractNum>
  <w:abstractNum w:abstractNumId="7">
    <w:lvl w:ilvl="0">
      <w:numFmt w:val="bullet"/>
      <w:lvlText w:val="-"/>
      <w:lvlJc w:val="start"/>
      <w:pPr>
        <w:tabs>
          <w:tab w:val="num" w:pos="1080"/>
        </w:tabs>
        <w:ind w:start="1080" w:hanging="720"/>
      </w:pPr>
      <w:rPr>
        <w:rFonts w:ascii="Times New Roman" w:hAnsi="Times New Roman" w:cs="Times New Roman"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iMemoStyle"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caps/>
      <w:spacing w:val="20"/>
      <w:kern w:val="2"/>
      <w:sz w:val="18"/>
    </w:rPr>
  </w:style>
  <w:style w:type="paragraph" w:styleId="Heading2">
    <w:name w:val="heading 2"/>
    <w:basedOn w:val="Normal"/>
    <w:next w:val="BodyText"/>
    <w:qFormat/>
    <w:pPr>
      <w:keepNext w:val="true"/>
      <w:keepLines/>
      <w:numPr>
        <w:ilvl w:val="1"/>
        <w:numId w:val="1"/>
      </w:numPr>
      <w:spacing w:lineRule="atLeast" w:line="240" w:before="0" w:after="170"/>
      <w:outlineLvl w:val="1"/>
    </w:pPr>
    <w:rPr>
      <w:caps/>
      <w:kern w:val="2"/>
    </w:rPr>
  </w:style>
  <w:style w:type="paragraph" w:styleId="Heading3">
    <w:name w:val="heading 3"/>
    <w:basedOn w:val="Normal"/>
    <w:next w:val="BodyText"/>
    <w:qFormat/>
    <w:pPr>
      <w:keepNext w:val="true"/>
      <w:keepLines/>
      <w:numPr>
        <w:ilvl w:val="2"/>
        <w:numId w:val="1"/>
      </w:numPr>
      <w:spacing w:lineRule="atLeast" w:line="240" w:before="0" w:after="240"/>
      <w:outlineLvl w:val="2"/>
    </w:pPr>
    <w:rPr>
      <w:i/>
      <w:kern w:val="2"/>
    </w:rPr>
  </w:style>
  <w:style w:type="paragraph" w:styleId="Heading4">
    <w:name w:val="heading 4"/>
    <w:basedOn w:val="Normal"/>
    <w:next w:val="BodyText"/>
    <w:qFormat/>
    <w:pPr>
      <w:keepNext w:val="true"/>
      <w:keepLines/>
      <w:numPr>
        <w:ilvl w:val="3"/>
        <w:numId w:val="1"/>
      </w:numPr>
      <w:spacing w:lineRule="atLeast" w:line="240"/>
      <w:outlineLvl w:val="3"/>
    </w:pPr>
    <w:rPr>
      <w:caps/>
      <w:kern w:val="2"/>
      <w:sz w:val="18"/>
    </w:rPr>
  </w:style>
  <w:style w:type="paragraph" w:styleId="Heading5">
    <w:name w:val="heading 5"/>
    <w:basedOn w:val="Normal"/>
    <w:next w:val="BodyText"/>
    <w:qFormat/>
    <w:pPr>
      <w:keepNext w:val="true"/>
      <w:keepLines/>
      <w:numPr>
        <w:ilvl w:val="4"/>
        <w:numId w:val="1"/>
      </w:numPr>
      <w:spacing w:lineRule="atLeast" w:line="240"/>
      <w:outlineLvl w:val="4"/>
    </w:pPr>
    <w:rPr>
      <w:kern w:val="2"/>
    </w:rPr>
  </w:style>
  <w:style w:type="paragraph" w:styleId="Heading6">
    <w:name w:val="heading 6"/>
    <w:basedOn w:val="Normal"/>
    <w:next w:val="Normal"/>
    <w:qFormat/>
    <w:pPr>
      <w:keepNext w:val="true"/>
      <w:numPr>
        <w:ilvl w:val="5"/>
        <w:numId w:val="1"/>
      </w:numPr>
      <w:autoSpaceDE w:val="false"/>
      <w:spacing w:lineRule="atLeast" w:line="240"/>
      <w:ind w:hanging="0" w:start="72" w:end="0"/>
      <w:outlineLvl w:val="5"/>
    </w:pPr>
    <w:rPr>
      <w:rFonts w:ascii="Arial" w:hAnsi="Arial" w:cs="Arial"/>
      <w:color w:val="000000"/>
      <w:sz w:val="20"/>
      <w:u w:val="single"/>
    </w:rPr>
  </w:style>
  <w:style w:type="paragraph" w:styleId="Heading7">
    <w:name w:val="heading 7"/>
    <w:basedOn w:val="Normal"/>
    <w:next w:val="Normal"/>
    <w:qFormat/>
    <w:pPr>
      <w:keepNext w:val="true"/>
      <w:numPr>
        <w:ilvl w:val="6"/>
        <w:numId w:val="1"/>
      </w:numPr>
      <w:autoSpaceDE w:val="false"/>
      <w:spacing w:lineRule="atLeast" w:line="240"/>
      <w:outlineLvl w:val="6"/>
    </w:pPr>
    <w:rPr>
      <w:rFonts w:cs="Arial"/>
      <w:b/>
      <w:bCs/>
      <w:color w:val="000000"/>
      <w:sz w:val="24"/>
      <w:u w:val="single"/>
    </w:rPr>
  </w:style>
  <w:style w:type="paragraph" w:styleId="Heading8">
    <w:name w:val="heading 8"/>
    <w:basedOn w:val="Normal"/>
    <w:next w:val="Normal"/>
    <w:qFormat/>
    <w:pPr>
      <w:keepNext w:val="true"/>
      <w:numPr>
        <w:ilvl w:val="7"/>
        <w:numId w:val="1"/>
      </w:numPr>
      <w:autoSpaceDE w:val="false"/>
      <w:spacing w:lineRule="atLeast" w:line="240"/>
      <w:ind w:hanging="0" w:start="72" w:end="0"/>
      <w:outlineLvl w:val="7"/>
    </w:pPr>
    <w:rPr>
      <w:rFonts w:cs="Arial"/>
      <w:b/>
      <w:bCs/>
      <w:color w:val="000000"/>
      <w:sz w:val="24"/>
      <w:u w:val="single"/>
    </w:rPr>
  </w:style>
  <w:style w:type="paragraph" w:styleId="Heading9">
    <w:name w:val="heading 9"/>
    <w:basedOn w:val="Normal"/>
    <w:next w:val="Normal"/>
    <w:qFormat/>
    <w:pPr>
      <w:keepNext w:val="true"/>
      <w:numPr>
        <w:ilvl w:val="8"/>
        <w:numId w:val="1"/>
      </w:numPr>
      <w:autoSpaceDE w:val="false"/>
      <w:spacing w:lineRule="atLeast" w:line="240"/>
      <w:ind w:hanging="0" w:start="72" w:end="0"/>
      <w:outlineLvl w:val="8"/>
    </w:pPr>
    <w:rPr>
      <w:rFonts w:cs="Arial"/>
      <w:color w:val="000000"/>
      <w:sz w:val="24"/>
      <w:u w:val="single"/>
    </w:rPr>
  </w:style>
  <w:style w:type="character" w:styleId="WW8Num1z0">
    <w:name w:val="WW8Num1z0"/>
    <w:qFormat/>
    <w:rPr>
      <w:rFonts w:ascii="Symbol" w:hAnsi="Symbol" w:cs="Symbol"/>
    </w:rPr>
  </w:style>
  <w:style w:type="character" w:styleId="WW8Num1z4">
    <w:name w:val="WW8Num1z4"/>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rFonts w:ascii="Symbol" w:hAnsi="Symbol" w:cs="Symbol"/>
    </w:rPr>
  </w:style>
  <w:style w:type="character" w:styleId="WW8Num6z4">
    <w:name w:val="WW8Num6z4"/>
    <w:qFormat/>
    <w:rPr>
      <w:rFonts w:ascii="Garamond" w:hAnsi="Garamond" w:cs="Garamond"/>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character" w:styleId="FootnoteCharacters">
    <w:name w:val="Footnote Characters"/>
    <w:basedOn w:val="DefaultParagraphFont"/>
    <w:qFormat/>
    <w:rPr>
      <w:vertAlign w:val="superscript"/>
    </w:rPr>
  </w:style>
  <w:style w:type="character" w:styleId="normaltextfont">
    <w:name w:val="normaltextfont"/>
    <w:basedOn w:val="DefaultParagraphFont"/>
    <w:qFormat/>
    <w:rPr>
      <w:rFonts w:ascii="Georgia" w:hAnsi="Georgia" w:cs="Georgia"/>
      <w:sz w:val="20"/>
      <w:szCs w:val="20"/>
    </w:rPr>
  </w:style>
  <w:style w:type="character" w:styleId="nonproportionaltextfont">
    <w:name w:val="nonproportionaltextfont"/>
    <w:basedOn w:val="DefaultParagraphFont"/>
    <w:qFormat/>
    <w:rPr>
      <w:rFonts w:ascii="Courier" w:hAnsi="Courier" w:cs="Courier"/>
      <w:sz w:val="20"/>
      <w:szCs w:val="20"/>
    </w:rPr>
  </w:style>
  <w:style w:type="character" w:styleId="Hyperlink">
    <w:name w:val="Hyperlink"/>
    <w:basedOn w:val="DefaultParagraphFont"/>
    <w:rPr>
      <w:color w:val="000099"/>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caps/>
      <w:kern w:val="2"/>
      <w:sz w:val="18"/>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 w:type="paragraph" w:styleId="FootnoteText">
    <w:name w:val="footnote text"/>
    <w:basedOn w:val="Normal"/>
    <w:pPr/>
    <w:rPr>
      <w:rFonts w:ascii="Times New Roman" w:hAnsi="Times New Roman" w:cs="Times New Roman"/>
      <w:color w:val="000000"/>
      <w:sz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Indent">
    <w:name w:val="Body Text Indent"/>
    <w:basedOn w:val="Normal"/>
    <w:pPr>
      <w:autoSpaceDE w:val="false"/>
      <w:spacing w:lineRule="atLeast" w:line="240"/>
      <w:ind w:hanging="0" w:start="72" w:end="0"/>
    </w:pPr>
    <w:rPr>
      <w:rFonts w:cs="Arial"/>
      <w:color w:val="000000"/>
      <w:sz w:val="24"/>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edis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2001-03-07T21:57:00Z</dcterms:created>
  <dc:creator>Microsoft Corporation</dc:creator>
  <dc:description/>
  <dc:language>en-CA</dc:language>
  <cp:lastModifiedBy>ksulliva</cp:lastModifiedBy>
  <cp:lastPrinted>2001-03-07T18:23:00Z</cp:lastPrinted>
  <dcterms:modified xsi:type="dcterms:W3CDTF">2001-03-07T21:57:00Z</dcterms:modified>
  <cp:revision>2</cp:revision>
  <dc:subject>NY Regulatory Update</dc:subject>
  <dc:title>Interoffice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