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1"/>
        <w:spacing w:before="0" w:after="0"/>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t>Technical Operating Profile</w:t>
      </w:r>
    </w:p>
    <w:p>
      <w:pPr>
        <w:pStyle w:val="Normal"/>
        <w:jc w:val="center"/>
        <w:rPr>
          <w:sz w:val="56"/>
        </w:rPr>
      </w:pPr>
      <w:r>
        <w:rPr>
          <w:sz w:val="56"/>
        </w:rPr>
        <w:t xml:space="preserve">For EDI </w:t>
      </w:r>
    </w:p>
    <w:p>
      <w:pPr>
        <w:pStyle w:val="Normal"/>
        <w:jc w:val="center"/>
        <w:rPr>
          <w:sz w:val="56"/>
        </w:rPr>
      </w:pPr>
      <w:r>
        <w:rPr>
          <w:sz w:val="56"/>
        </w:rPr>
      </w:r>
    </w:p>
    <w:p>
      <w:pPr>
        <w:pStyle w:val="Normal"/>
        <w:jc w:val="center"/>
        <w:rPr>
          <w:sz w:val="56"/>
        </w:rPr>
      </w:pPr>
      <w:r>
        <w:rPr>
          <w:sz w:val="56"/>
        </w:rPr>
      </w:r>
    </w:p>
    <w:p>
      <w:pPr>
        <w:pStyle w:val="Normal"/>
        <w:jc w:val="center"/>
        <w:rPr>
          <w:i/>
          <w:i/>
          <w:sz w:val="48"/>
        </w:rPr>
      </w:pPr>
      <w:r>
        <w:rPr>
          <w:i/>
          <w:sz w:val="48"/>
        </w:rPr>
        <w:t xml:space="preserve">New York </w:t>
        <w:br/>
        <w:t xml:space="preserve">Electronic Data Interchange </w:t>
        <w:br/>
        <w:t>Collaborative</w:t>
      </w:r>
    </w:p>
    <w:p>
      <w:pPr>
        <w:pStyle w:val="Normal"/>
        <w:jc w:val="center"/>
        <w:rPr>
          <w:i/>
          <w:i/>
          <w:sz w:val="56"/>
        </w:rPr>
      </w:pPr>
      <w:r>
        <w:rPr>
          <w:i/>
          <w:sz w:val="56"/>
        </w:rPr>
      </w:r>
    </w:p>
    <w:p>
      <w:pPr>
        <w:pStyle w:val="Normal"/>
        <w:jc w:val="center"/>
        <w:rPr>
          <w:i/>
          <w:i/>
          <w:sz w:val="40"/>
        </w:rPr>
      </w:pPr>
      <w:r>
        <w:rPr>
          <w:i/>
          <w:sz w:val="40"/>
        </w:rPr>
      </w:r>
    </w:p>
    <w:p>
      <w:pPr>
        <w:pStyle w:val="Normal"/>
        <w:jc w:val="center"/>
        <w:rPr>
          <w:i/>
          <w:i/>
          <w:sz w:val="56"/>
        </w:rPr>
      </w:pPr>
      <w:r>
        <w:rPr>
          <w:i/>
          <w:sz w:val="56"/>
        </w:rPr>
      </w:r>
    </w:p>
    <w:p>
      <w:pPr>
        <w:pStyle w:val="Heading8"/>
        <w:ind w:hanging="0" w:start="0"/>
        <w:jc w:val="center"/>
        <w:rPr>
          <w:b/>
          <w:i/>
          <w:i/>
        </w:rPr>
      </w:pPr>
      <w:r>
        <w:rPr>
          <w:b/>
          <w:i/>
        </w:rPr>
        <w:t>Draft</w:t>
      </w:r>
    </w:p>
    <w:p>
      <w:pPr>
        <w:pStyle w:val="Heading8"/>
        <w:ind w:hanging="0" w:start="0"/>
        <w:jc w:val="center"/>
        <w:rPr>
          <w:b/>
          <w:i/>
          <w:i/>
        </w:rPr>
      </w:pPr>
      <w:r>
        <w:rPr>
          <w:b/>
          <w:i/>
        </w:rPr>
        <w:t>January 24, 2001</w:t>
      </w:r>
    </w:p>
    <w:p>
      <w:pPr>
        <w:pStyle w:val="Heading2"/>
        <w:ind w:hanging="0" w:start="0"/>
        <w:rPr>
          <w:b w:val="false"/>
          <w:i/>
          <w:i/>
        </w:rPr>
      </w:pPr>
      <w:r>
        <w:rPr>
          <w:b w:val="false"/>
          <w:i/>
        </w:rPr>
      </w:r>
    </w:p>
    <w:p>
      <w:pPr>
        <w:pStyle w:val="Heading2"/>
        <w:ind w:hanging="0" w:start="0"/>
        <w:rPr>
          <w:b w:val="false"/>
        </w:rPr>
      </w:pPr>
      <w:r>
        <w:rPr>
          <w:b w:val="false"/>
        </w:rPr>
      </w:r>
    </w:p>
    <w:p>
      <w:pPr>
        <w:pStyle w:val="Heading2"/>
        <w:ind w:hanging="0" w:start="0"/>
        <w:rPr>
          <w:b w:val="false"/>
        </w:rPr>
      </w:pPr>
      <w:r>
        <w:rPr>
          <w:b w:val="false"/>
        </w:rPr>
      </w:r>
    </w:p>
    <w:p>
      <w:pPr>
        <w:pStyle w:val="Heading2"/>
        <w:ind w:hanging="0" w:start="0"/>
        <w:rPr>
          <w:b w:val="false"/>
        </w:rPr>
      </w:pPr>
      <w:r>
        <w:rPr>
          <w:b w:val="false"/>
        </w:rPr>
      </w:r>
    </w:p>
    <w:p>
      <w:pPr>
        <w:pStyle w:val="Normal"/>
        <w:rPr>
          <w:b/>
        </w:rPr>
      </w:pPr>
      <w:r>
        <w:rPr>
          <w:b/>
        </w:rPr>
      </w:r>
    </w:p>
    <w:p>
      <w:pPr>
        <w:pStyle w:val="Normal"/>
        <w:rPr/>
      </w:pPr>
      <w:r>
        <w:rPr/>
      </w:r>
    </w:p>
    <w:p>
      <w:pPr>
        <w:pStyle w:val="Normal"/>
        <w:rPr/>
      </w:pPr>
      <w:r>
        <w:rPr/>
      </w:r>
      <w:r>
        <w:br w:type="page"/>
      </w:r>
    </w:p>
    <w:p>
      <w:pPr>
        <w:pStyle w:val="Normal"/>
        <w:rPr>
          <w:b/>
          <w:sz w:val="36"/>
        </w:rPr>
      </w:pPr>
      <w:r>
        <w:rPr>
          <w:b/>
          <w:sz w:val="36"/>
        </w:rPr>
        <w:t>Table of Contents</w:t>
        <w:br/>
      </w:r>
    </w:p>
    <w:sdt>
      <w:sdtPr>
        <w:docPartObj>
          <w:docPartGallery w:val="Table of Contents"/>
          <w:docPartUnique w:val="true"/>
        </w:docPartObj>
      </w:sdtPr>
      <w:sdtContent>
        <w:p>
          <w:pPr>
            <w:pStyle w:val="TOC2"/>
            <w:tabs>
              <w:tab w:val="left" w:pos="630" w:leader="none"/>
              <w:tab w:val="left" w:pos="1890" w:leader="none"/>
              <w:tab w:val="right" w:pos="8640" w:leader="underscore"/>
            </w:tabs>
            <w:rPr/>
          </w:pPr>
          <w:r>
            <w:fldChar w:fldCharType="begin"/>
          </w:r>
          <w:r>
            <w:rPr/>
            <w:instrText xml:space="preserve"> TOC \o "1-3" </w:instrText>
          </w:r>
          <w:r>
            <w:rPr/>
            <w:fldChar w:fldCharType="separate"/>
          </w:r>
          <w:r>
            <w:rPr/>
            <w:t>I.</w:t>
            <w:tab/>
            <w:t>Overview</w:t>
            <w:tab/>
            <w:tab/>
          </w:r>
          <w:hyperlink w:anchor="__RefHeading___Toc504980661">
            <w:r>
              <w:rPr>
                <w:rStyle w:val="IndexLink"/>
              </w:rPr>
              <w:t>3</w:t>
            </w:r>
          </w:hyperlink>
        </w:p>
        <w:p>
          <w:pPr>
            <w:pStyle w:val="TOC2"/>
            <w:tabs>
              <w:tab w:val="left" w:pos="630" w:leader="none"/>
              <w:tab w:val="left" w:pos="1890" w:leader="none"/>
              <w:tab w:val="right" w:pos="8640" w:leader="underscore"/>
            </w:tabs>
            <w:rPr/>
          </w:pPr>
          <w:r>
            <w:rPr/>
            <w:t>II.</w:t>
            <w:tab/>
            <w:t>General Technical Assumptions</w:t>
            <w:tab/>
          </w:r>
          <w:hyperlink w:anchor="__RefHeading___Toc504980662">
            <w:r>
              <w:rPr>
                <w:rStyle w:val="IndexLink"/>
              </w:rPr>
              <w:t>4</w:t>
            </w:r>
          </w:hyperlink>
        </w:p>
        <w:p>
          <w:pPr>
            <w:pStyle w:val="TOC2"/>
            <w:tabs>
              <w:tab w:val="left" w:pos="630" w:leader="none"/>
              <w:tab w:val="left" w:pos="1890" w:leader="none"/>
              <w:tab w:val="right" w:pos="8640" w:leader="underscore"/>
            </w:tabs>
            <w:rPr/>
          </w:pPr>
          <w:r>
            <w:rPr/>
            <w:t>III.</w:t>
            <w:tab/>
            <w:t>Transaction Processing Architecture</w:t>
            <w:tab/>
          </w:r>
          <w:hyperlink w:anchor="__RefHeading___Toc504980663">
            <w:r>
              <w:rPr>
                <w:rStyle w:val="IndexLink"/>
              </w:rPr>
              <w:t>5</w:t>
            </w:r>
          </w:hyperlink>
        </w:p>
        <w:p>
          <w:pPr>
            <w:pStyle w:val="TOC3"/>
            <w:tabs>
              <w:tab w:val="clear" w:pos="720"/>
              <w:tab w:val="right" w:pos="8640" w:leader="dot"/>
            </w:tabs>
            <w:rPr>
              <w:lang w:val="en-CA"/>
            </w:rPr>
          </w:pPr>
          <w:r>
            <w:rPr>
              <w:lang w:val="en-CA"/>
            </w:rPr>
            <w:t>A. General Requirements</w:t>
            <w:tab/>
          </w:r>
          <w:hyperlink w:anchor="__RefHeading___Toc504980664">
            <w:r>
              <w:rPr>
                <w:rStyle w:val="IndexLink"/>
                <w:lang w:val="en-CA"/>
              </w:rPr>
              <w:t>6</w:t>
            </w:r>
          </w:hyperlink>
        </w:p>
        <w:p>
          <w:pPr>
            <w:pStyle w:val="TOC3"/>
            <w:tabs>
              <w:tab w:val="clear" w:pos="720"/>
              <w:tab w:val="right" w:pos="8640" w:leader="dot"/>
            </w:tabs>
            <w:rPr>
              <w:lang w:val="en-CA"/>
            </w:rPr>
          </w:pPr>
          <w:r>
            <w:rPr>
              <w:lang w:val="en-CA"/>
            </w:rPr>
            <w:t>B. Phase I Exit Criterion</w:t>
            <w:tab/>
          </w:r>
          <w:hyperlink w:anchor="__RefHeading___Toc504980665">
            <w:r>
              <w:rPr>
                <w:rStyle w:val="IndexLink"/>
                <w:lang w:val="en-CA"/>
              </w:rPr>
              <w:t>6</w:t>
            </w:r>
          </w:hyperlink>
        </w:p>
        <w:p>
          <w:pPr>
            <w:pStyle w:val="TOC3"/>
            <w:tabs>
              <w:tab w:val="clear" w:pos="720"/>
              <w:tab w:val="right" w:pos="8640" w:leader="dot"/>
            </w:tabs>
            <w:rPr>
              <w:lang w:val="en-CA"/>
            </w:rPr>
          </w:pPr>
          <w:r>
            <w:rPr>
              <w:lang w:val="en-CA"/>
            </w:rPr>
            <w:t>C. Phase I Testing Assumptions</w:t>
            <w:tab/>
          </w:r>
          <w:hyperlink w:anchor="__RefHeading___Toc504980666">
            <w:r>
              <w:rPr>
                <w:rStyle w:val="IndexLink"/>
                <w:lang w:val="en-CA"/>
              </w:rPr>
              <w:t>7</w:t>
            </w:r>
          </w:hyperlink>
        </w:p>
        <w:p>
          <w:pPr>
            <w:pStyle w:val="TOC3"/>
            <w:tabs>
              <w:tab w:val="clear" w:pos="720"/>
              <w:tab w:val="right" w:pos="8640" w:leader="dot"/>
            </w:tabs>
            <w:rPr>
              <w:lang w:val="en-CA"/>
            </w:rPr>
          </w:pPr>
          <w:r>
            <w:rPr>
              <w:lang w:val="en-CA"/>
            </w:rPr>
            <w:t>D. Phase I Critical Success Factors</w:t>
            <w:tab/>
          </w:r>
          <w:hyperlink w:anchor="__RefHeading___Toc504980667">
            <w:r>
              <w:rPr>
                <w:rStyle w:val="IndexLink"/>
                <w:lang w:val="en-CA"/>
              </w:rPr>
              <w:t>7</w:t>
            </w:r>
          </w:hyperlink>
        </w:p>
        <w:p>
          <w:pPr>
            <w:pStyle w:val="TOC3"/>
            <w:tabs>
              <w:tab w:val="clear" w:pos="720"/>
              <w:tab w:val="right" w:pos="8640" w:leader="dot"/>
            </w:tabs>
            <w:rPr>
              <w:lang w:val="en-CA"/>
            </w:rPr>
          </w:pPr>
          <w:r>
            <w:rPr>
              <w:lang w:val="en-CA"/>
            </w:rPr>
            <w:t>E. Phase I Testing Scope</w:t>
            <w:tab/>
          </w:r>
          <w:hyperlink w:anchor="__RefHeading___Toc504980668">
            <w:r>
              <w:rPr>
                <w:rStyle w:val="IndexLink"/>
                <w:lang w:val="en-CA"/>
              </w:rPr>
              <w:t>7</w:t>
            </w:r>
          </w:hyperlink>
        </w:p>
        <w:p>
          <w:pPr>
            <w:pStyle w:val="TOC2"/>
            <w:rPr/>
          </w:pPr>
          <w:r>
            <w:rPr/>
            <w:t>V. Phase I - X12 Syntax Test Specifications</w:t>
            <w:tab/>
          </w:r>
          <w:hyperlink w:anchor="__RefHeading___Toc504980669">
            <w:r>
              <w:rPr>
                <w:rStyle w:val="IndexLink"/>
              </w:rPr>
              <w:t>8</w:t>
            </w:r>
          </w:hyperlink>
        </w:p>
        <w:p>
          <w:pPr>
            <w:pStyle w:val="TOC3"/>
            <w:tabs>
              <w:tab w:val="clear" w:pos="720"/>
              <w:tab w:val="right" w:pos="8640" w:leader="dot"/>
            </w:tabs>
            <w:rPr>
              <w:lang w:val="en-CA"/>
            </w:rPr>
          </w:pPr>
          <w:r>
            <w:rPr>
              <w:lang w:val="en-CA"/>
            </w:rPr>
            <w:t>A. Organization of X12 Tests</w:t>
            <w:tab/>
          </w:r>
          <w:hyperlink w:anchor="__RefHeading___Toc504980670">
            <w:r>
              <w:rPr>
                <w:rStyle w:val="IndexLink"/>
                <w:lang w:val="en-CA"/>
              </w:rPr>
              <w:t>8</w:t>
            </w:r>
          </w:hyperlink>
        </w:p>
        <w:p>
          <w:pPr>
            <w:pStyle w:val="TOC3"/>
            <w:tabs>
              <w:tab w:val="clear" w:pos="720"/>
              <w:tab w:val="right" w:pos="8640" w:leader="dot"/>
            </w:tabs>
            <w:rPr>
              <w:lang w:val="en-CA"/>
            </w:rPr>
          </w:pPr>
          <w:r>
            <w:rPr>
              <w:lang w:val="en-CA"/>
            </w:rPr>
            <w:t>B. Utility Tests</w:t>
            <w:tab/>
          </w:r>
          <w:hyperlink w:anchor="__RefHeading___Toc504980671">
            <w:r>
              <w:rPr>
                <w:rStyle w:val="IndexLink"/>
                <w:lang w:val="en-CA"/>
              </w:rPr>
              <w:t>9</w:t>
            </w:r>
          </w:hyperlink>
        </w:p>
        <w:p>
          <w:pPr>
            <w:pStyle w:val="TOC3"/>
            <w:tabs>
              <w:tab w:val="clear" w:pos="720"/>
              <w:tab w:val="right" w:pos="8640" w:leader="dot"/>
            </w:tabs>
            <w:rPr>
              <w:lang w:val="en-CA"/>
            </w:rPr>
          </w:pPr>
          <w:r>
            <w:rPr>
              <w:lang w:val="en-CA"/>
            </w:rPr>
            <w:t>C. ESCO/Marketer Tests</w:t>
            <w:tab/>
          </w:r>
          <w:hyperlink w:anchor="__RefHeading___Toc504980672">
            <w:r>
              <w:rPr>
                <w:rStyle w:val="IndexLink"/>
                <w:lang w:val="en-CA"/>
              </w:rPr>
              <w:t>12</w:t>
            </w:r>
          </w:hyperlink>
        </w:p>
        <w:p>
          <w:pPr>
            <w:pStyle w:val="TOC2"/>
            <w:rPr/>
          </w:pPr>
          <w:r>
            <w:rPr/>
            <w:t>VI. Phase I - Data Transfer Mechanism Test Specifications</w:t>
            <w:tab/>
          </w:r>
          <w:hyperlink w:anchor="__RefHeading___Toc504980673">
            <w:r>
              <w:rPr>
                <w:rStyle w:val="IndexLink"/>
              </w:rPr>
              <w:t>13</w:t>
            </w:r>
          </w:hyperlink>
        </w:p>
        <w:p>
          <w:pPr>
            <w:pStyle w:val="TOC3"/>
            <w:tabs>
              <w:tab w:val="clear" w:pos="720"/>
              <w:tab w:val="left" w:pos="1890" w:leader="none"/>
              <w:tab w:val="right" w:pos="8640" w:leader="dot"/>
            </w:tabs>
            <w:rPr>
              <w:lang w:val="en-CA"/>
            </w:rPr>
          </w:pPr>
          <w:r>
            <w:rPr>
              <w:lang w:val="en-CA"/>
            </w:rPr>
            <w:t>A. DTM Protocol Specification</w:t>
            <w:tab/>
          </w:r>
          <w:hyperlink w:anchor="__RefHeading___Toc504980674">
            <w:r>
              <w:rPr>
                <w:rStyle w:val="IndexLink"/>
                <w:lang w:val="en-CA"/>
              </w:rPr>
              <w:t>13</w:t>
            </w:r>
          </w:hyperlink>
        </w:p>
        <w:p>
          <w:pPr>
            <w:pStyle w:val="TOC3"/>
            <w:tabs>
              <w:tab w:val="clear" w:pos="720"/>
              <w:tab w:val="right" w:pos="8640" w:leader="dot"/>
            </w:tabs>
            <w:rPr>
              <w:lang w:val="en-CA"/>
            </w:rPr>
          </w:pPr>
          <w:r>
            <w:rPr>
              <w:lang w:val="en-CA"/>
            </w:rPr>
            <w:t>B. DTM Testing Guidelines</w:t>
            <w:tab/>
          </w:r>
          <w:hyperlink w:anchor="__RefHeading___Toc504980675">
            <w:r>
              <w:rPr>
                <w:rStyle w:val="IndexLink"/>
                <w:lang w:val="en-CA"/>
              </w:rPr>
              <w:t>15</w:t>
            </w:r>
          </w:hyperlink>
        </w:p>
        <w:p>
          <w:pPr>
            <w:pStyle w:val="TOC3"/>
            <w:tabs>
              <w:tab w:val="clear" w:pos="720"/>
              <w:tab w:val="right" w:pos="8640" w:leader="dot"/>
            </w:tabs>
            <w:rPr/>
          </w:pPr>
          <w:r>
            <w:rPr>
              <w:lang w:val="en-CA"/>
            </w:rPr>
            <w:t>C. Detailed DTM Testing Specification</w:t>
            <w:tab/>
          </w:r>
          <w:hyperlink w:anchor="__RefHeading___Toc504980676">
            <w:r>
              <w:rPr>
                <w:rStyle w:val="IndexLink"/>
                <w:lang w:val="en-CA"/>
              </w:rPr>
              <w:t>16</w:t>
            </w:r>
          </w:hyperlink>
          <w:r>
            <w:rPr>
              <w:lang w:val="en-CA"/>
            </w:rPr>
            <w:br/>
          </w:r>
        </w:p>
        <w:p>
          <w:pPr>
            <w:pStyle w:val="TOC2"/>
            <w:rPr/>
          </w:pPr>
          <w:r>
            <w:rPr/>
            <w:t xml:space="preserve">Appendix A: </w:t>
            <w:tab/>
            <w:t xml:space="preserve">New York Electronic Data Interchange </w:t>
            <w:br/>
            <w:t>Test Plan Overview</w:t>
            <w:tab/>
          </w:r>
          <w:hyperlink w:anchor="__RefHeading___Toc504980677">
            <w:r>
              <w:rPr>
                <w:rStyle w:val="IndexLink"/>
              </w:rPr>
              <w:t>18</w:t>
            </w:r>
          </w:hyperlink>
        </w:p>
        <w:p>
          <w:pPr>
            <w:pStyle w:val="TOC2"/>
            <w:rPr/>
          </w:pPr>
          <w:r>
            <w:rPr/>
            <w:t>Appendix B: Transaction Processing Architecture</w:t>
            <w:tab/>
          </w:r>
          <w:hyperlink w:anchor="__RefHeading___Toc504980678">
            <w:r>
              <w:rPr>
                <w:rStyle w:val="IndexLink"/>
              </w:rPr>
              <w:t>22</w:t>
            </w:r>
          </w:hyperlink>
        </w:p>
        <w:p>
          <w:pPr>
            <w:pStyle w:val="TOC2"/>
            <w:rPr/>
          </w:pPr>
          <w:r>
            <w:rPr/>
            <w:t>Appendix C: Relevant Sections of the GISB EDM,  Version 1.4</w:t>
            <w:tab/>
          </w:r>
          <w:hyperlink w:anchor="__RefHeading___Toc504980679">
            <w:r>
              <w:rPr>
                <w:rStyle w:val="IndexLink"/>
              </w:rPr>
              <w:t>26</w:t>
            </w:r>
          </w:hyperlink>
        </w:p>
        <w:p>
          <w:pPr>
            <w:pStyle w:val="TOC2"/>
            <w:rPr/>
          </w:pPr>
          <w:r>
            <w:rPr/>
            <w:t>Appendix D: Glossary</w:t>
            <w:tab/>
          </w:r>
          <w:hyperlink w:anchor="__RefHeading___Toc504980680">
            <w:r>
              <w:rPr>
                <w:rStyle w:val="IndexLink"/>
              </w:rPr>
              <w:t>27</w:t>
            </w:r>
          </w:hyperlink>
          <w:r>
            <w:rPr>
              <w:rStyle w:val="IndexLink"/>
            </w:rPr>
            <w:fldChar w:fldCharType="end"/>
          </w:r>
        </w:p>
      </w:sdtContent>
    </w:sdt>
    <w:p>
      <w:pPr>
        <w:pStyle w:val="Heading2"/>
        <w:numPr>
          <w:ilvl w:val="0"/>
          <w:numId w:val="0"/>
        </w:numPr>
        <w:rPr/>
      </w:pPr>
      <w:r>
        <w:rPr/>
      </w:r>
      <w:r>
        <w:br w:type="page"/>
      </w:r>
    </w:p>
    <w:p>
      <w:pPr>
        <w:pStyle w:val="Heading2"/>
        <w:ind w:hanging="0" w:start="0"/>
        <w:rPr/>
      </w:pPr>
      <w:bookmarkStart w:id="0" w:name="__RefHeading___Toc504980661"/>
      <w:bookmarkEnd w:id="0"/>
      <w:r>
        <w:rPr/>
        <w:t>I.</w:t>
        <w:tab/>
        <w:t>Overview</w:t>
      </w:r>
    </w:p>
    <w:p>
      <w:pPr>
        <w:pStyle w:val="Normal"/>
        <w:rPr>
          <w:b/>
          <w:sz w:val="24"/>
        </w:rPr>
      </w:pPr>
      <w:r>
        <w:rPr>
          <w:b/>
          <w:sz w:val="24"/>
        </w:rPr>
      </w:r>
    </w:p>
    <w:p>
      <w:pPr>
        <w:pStyle w:val="Normal"/>
        <w:rPr>
          <w:sz w:val="24"/>
        </w:rPr>
      </w:pPr>
      <w:r>
        <w:rPr>
          <w:sz w:val="24"/>
        </w:rPr>
        <w:t xml:space="preserve">This document describes and defines the technical operating profile for electronic data interchange (EDI) use in New York’s deregulated retail energy marketplace. It was completed by the New York EDI Collaborative group (or the Collaborative), in accordance with policies developed by the New York Public Service Commission (or Commission) in Case 98-M-0667. This document is intended to serve as the primary, comprehensive source of technical information on the EDI environment in New York. </w:t>
      </w:r>
    </w:p>
    <w:p>
      <w:pPr>
        <w:pStyle w:val="Normal"/>
        <w:rPr>
          <w:sz w:val="24"/>
        </w:rPr>
      </w:pPr>
      <w:r>
        <w:rPr>
          <w:sz w:val="24"/>
        </w:rPr>
      </w:r>
    </w:p>
    <w:p>
      <w:pPr>
        <w:pStyle w:val="Normal"/>
        <w:rPr/>
      </w:pPr>
      <w:r>
        <w:rPr>
          <w:sz w:val="24"/>
        </w:rPr>
        <w:t xml:space="preserve">This document encompasses material from documents previously published by the Collaborative. Transaction set data standards for customer enrollments and exchange of historical and current usage information were filed with the Commission on October 10, 2000 and November 21, 2000 (along with other EDI related documents). Test scenarios for these transaction sets are therefore included in this document.  As additional transaction set standards and related documents are developed by the Collaborative (and approved as necessary by the Commission), additional test scenarios will be appended to the </w:t>
      </w:r>
      <w:r>
        <w:rPr>
          <w:i/>
          <w:sz w:val="24"/>
        </w:rPr>
        <w:t>Technical Operating Profile</w:t>
      </w:r>
      <w:r>
        <w:rPr>
          <w:sz w:val="24"/>
        </w:rPr>
        <w:t xml:space="preserve"> document as supplements.</w:t>
        <w:br/>
      </w:r>
    </w:p>
    <w:p>
      <w:pPr>
        <w:pStyle w:val="BodyText2"/>
        <w:rPr/>
      </w:pPr>
      <w:r>
        <w:rPr/>
        <w:t>Among the topics addressed in this document is the New York Phase I EDI test plan.  The test plan describes the requirements that must be met by each market participant in order to achieve Phase I certification and to advance to Phase II and/or Phase III trading partner testing.  Phase II &amp; III test specifications are NOT included in this document.  They will be developed during the first quarter of 2001 by the Collaborative and filed with the Commission upon their completion.</w:t>
      </w:r>
    </w:p>
    <w:p>
      <w:pPr>
        <w:pStyle w:val="Normal"/>
        <w:rPr>
          <w:sz w:val="24"/>
        </w:rPr>
      </w:pPr>
      <w:r>
        <w:rPr>
          <w:sz w:val="24"/>
        </w:rPr>
      </w:r>
    </w:p>
    <w:p>
      <w:pPr>
        <w:pStyle w:val="Normal"/>
        <w:rPr>
          <w:b/>
          <w:sz w:val="32"/>
        </w:rPr>
      </w:pPr>
      <w:r>
        <w:rPr>
          <w:b/>
          <w:sz w:val="32"/>
        </w:rPr>
        <w:t>Document Scope</w:t>
      </w:r>
    </w:p>
    <w:p>
      <w:pPr>
        <w:pStyle w:val="Normal"/>
        <w:rPr>
          <w:b/>
          <w:sz w:val="24"/>
        </w:rPr>
      </w:pPr>
      <w:r>
        <w:rPr>
          <w:b/>
          <w:sz w:val="24"/>
        </w:rPr>
      </w:r>
    </w:p>
    <w:p>
      <w:pPr>
        <w:pStyle w:val="Normal"/>
        <w:rPr>
          <w:sz w:val="24"/>
        </w:rPr>
      </w:pPr>
      <w:r>
        <w:rPr>
          <w:sz w:val="24"/>
        </w:rPr>
        <w:t>This document is organized by the following topics:</w:t>
      </w:r>
    </w:p>
    <w:p>
      <w:pPr>
        <w:pStyle w:val="Normal"/>
        <w:rPr>
          <w:sz w:val="24"/>
        </w:rPr>
      </w:pPr>
      <w:r>
        <w:rPr>
          <w:sz w:val="24"/>
        </w:rPr>
      </w:r>
    </w:p>
    <w:p>
      <w:pPr>
        <w:pStyle w:val="BodyTextBullet"/>
        <w:numPr>
          <w:ilvl w:val="0"/>
          <w:numId w:val="3"/>
        </w:numPr>
        <w:spacing w:before="0" w:after="0"/>
        <w:ind w:hanging="360" w:start="720" w:end="0"/>
        <w:rPr/>
      </w:pPr>
      <w:r>
        <w:rPr/>
        <w:t xml:space="preserve">General Assumptions </w:t>
      </w:r>
    </w:p>
    <w:p>
      <w:pPr>
        <w:pStyle w:val="BodyTextBullet"/>
        <w:numPr>
          <w:ilvl w:val="0"/>
          <w:numId w:val="3"/>
        </w:numPr>
        <w:spacing w:before="0" w:after="0"/>
        <w:ind w:hanging="360" w:start="720" w:end="0"/>
        <w:rPr/>
      </w:pPr>
      <w:r>
        <w:rPr/>
        <w:t>Transaction Processing Architecture</w:t>
      </w:r>
    </w:p>
    <w:p>
      <w:pPr>
        <w:pStyle w:val="Normal"/>
        <w:numPr>
          <w:ilvl w:val="0"/>
          <w:numId w:val="3"/>
        </w:numPr>
        <w:tabs>
          <w:tab w:val="left" w:pos="720" w:leader="none"/>
        </w:tabs>
        <w:ind w:hanging="360" w:start="720" w:end="0"/>
        <w:rPr>
          <w:sz w:val="24"/>
        </w:rPr>
      </w:pPr>
      <w:r>
        <w:rPr>
          <w:sz w:val="24"/>
        </w:rPr>
        <w:t>Phase I Testing Program</w:t>
      </w:r>
    </w:p>
    <w:p>
      <w:pPr>
        <w:pStyle w:val="Normal"/>
        <w:numPr>
          <w:ilvl w:val="0"/>
          <w:numId w:val="3"/>
        </w:numPr>
        <w:tabs>
          <w:tab w:val="left" w:pos="720" w:leader="none"/>
        </w:tabs>
        <w:ind w:hanging="360" w:start="720" w:end="0"/>
        <w:rPr>
          <w:sz w:val="24"/>
        </w:rPr>
      </w:pPr>
      <w:r>
        <w:rPr>
          <w:sz w:val="24"/>
        </w:rPr>
        <w:t>Phase I - X12 Syntax Test Specifications</w:t>
        <w:tab/>
      </w:r>
    </w:p>
    <w:p>
      <w:pPr>
        <w:pStyle w:val="Normal"/>
        <w:numPr>
          <w:ilvl w:val="0"/>
          <w:numId w:val="3"/>
        </w:numPr>
        <w:tabs>
          <w:tab w:val="left" w:pos="720" w:leader="none"/>
        </w:tabs>
        <w:ind w:hanging="360" w:start="720" w:end="0"/>
        <w:rPr>
          <w:sz w:val="24"/>
        </w:rPr>
      </w:pPr>
      <w:r>
        <w:rPr>
          <w:sz w:val="24"/>
        </w:rPr>
        <w:t>Phase I - Data Transfer Mechanism Test Specifications</w:t>
      </w:r>
    </w:p>
    <w:p>
      <w:pPr>
        <w:pStyle w:val="Normal"/>
        <w:numPr>
          <w:ilvl w:val="0"/>
          <w:numId w:val="3"/>
        </w:numPr>
        <w:tabs>
          <w:tab w:val="left" w:pos="720" w:leader="none"/>
        </w:tabs>
        <w:ind w:hanging="360" w:start="720" w:end="0"/>
        <w:rPr>
          <w:sz w:val="24"/>
        </w:rPr>
      </w:pPr>
      <w:r>
        <w:rPr>
          <w:sz w:val="24"/>
        </w:rPr>
        <w:t>Appendices</w:t>
      </w:r>
    </w:p>
    <w:p>
      <w:pPr>
        <w:pStyle w:val="Normal"/>
        <w:ind w:firstLine="720" w:end="0"/>
        <w:rPr>
          <w:sz w:val="24"/>
        </w:rPr>
      </w:pPr>
      <w:r>
        <w:rPr>
          <w:sz w:val="24"/>
        </w:rPr>
      </w:r>
      <w:r>
        <w:br w:type="page"/>
      </w:r>
    </w:p>
    <w:p>
      <w:pPr>
        <w:pStyle w:val="Heading2"/>
        <w:tabs>
          <w:tab w:val="left" w:pos="720" w:leader="none"/>
        </w:tabs>
        <w:ind w:hanging="0" w:start="0"/>
        <w:rPr>
          <w:strike/>
        </w:rPr>
      </w:pPr>
      <w:bookmarkStart w:id="1" w:name="__RefHeading___Toc504980662"/>
      <w:r>
        <w:rPr/>
        <w:t>II.</w:t>
        <w:tab/>
        <w:t>General Technical Assumptions</w:t>
      </w:r>
      <w:bookmarkEnd w:id="1"/>
      <w:r>
        <w:rPr/>
        <w:br/>
      </w:r>
    </w:p>
    <w:p>
      <w:pPr>
        <w:pStyle w:val="Normal"/>
        <w:numPr>
          <w:ilvl w:val="0"/>
          <w:numId w:val="45"/>
        </w:numPr>
        <w:rPr>
          <w:i/>
          <w:i/>
          <w:sz w:val="24"/>
        </w:rPr>
      </w:pPr>
      <w:r>
        <w:rPr>
          <w:sz w:val="24"/>
        </w:rPr>
        <w:t xml:space="preserve">Utilities and ESCO/Marketers (E/Ms) will need to document, preferably in a written agreement, the technical specifics of agreed upon data exchange parameters. A trading partner agreement could be utilized for this purpose. </w:t>
        <w:br/>
      </w:r>
      <w:r>
        <w:rPr>
          <w:i/>
          <w:color w:val="FF0000"/>
          <w:sz w:val="24"/>
        </w:rPr>
        <w:t xml:space="preserve"> </w:t>
      </w:r>
    </w:p>
    <w:p>
      <w:pPr>
        <w:pStyle w:val="Normal"/>
        <w:numPr>
          <w:ilvl w:val="0"/>
          <w:numId w:val="45"/>
        </w:numPr>
        <w:rPr>
          <w:strike/>
          <w:sz w:val="24"/>
        </w:rPr>
      </w:pPr>
      <w:r>
        <w:rPr>
          <w:sz w:val="24"/>
        </w:rPr>
        <w:t xml:space="preserve">All Utilities and E/Ms should complete internal tests of their systems, including the requisite tests defined in the NY EDI test plan phases.  This will ensure that disruptions to other parties are minimized and that testing progresses in a timely and orderly fashion.  </w:t>
        <w:br/>
      </w:r>
    </w:p>
    <w:p>
      <w:pPr>
        <w:pStyle w:val="Normal"/>
        <w:numPr>
          <w:ilvl w:val="0"/>
          <w:numId w:val="45"/>
        </w:numPr>
        <w:rPr>
          <w:color w:val="FF0000"/>
          <w:sz w:val="24"/>
        </w:rPr>
      </w:pPr>
      <w:r>
        <w:rPr>
          <w:sz w:val="24"/>
        </w:rPr>
        <w:t>All companies are encouraged to resolve technical (EDI and/or DTM) problems with their trading partners.  A dispute is a problem where the two trading partners cannot agree on who is responsible for the problem and/or how to fix the problem.  Any unresolved disputes should be pursued in the manner described in the New York Uniform Business Practices for Dispute Resolution. .</w:t>
        <w:br/>
      </w:r>
    </w:p>
    <w:p>
      <w:pPr>
        <w:pStyle w:val="Normal"/>
        <w:numPr>
          <w:ilvl w:val="0"/>
          <w:numId w:val="45"/>
        </w:numPr>
        <w:rPr>
          <w:color w:val="FF0000"/>
          <w:sz w:val="24"/>
        </w:rPr>
      </w:pPr>
      <w:r>
        <w:rPr>
          <w:sz w:val="24"/>
        </w:rPr>
        <w:t>It is each party’s responsibility to ensure it receives what it is supposed to receive.  If a party’s server/systems are temporarily unable to receive data, it is the party’s responsibility to request re-transmission when their server/systems return to service.</w:t>
        <w:br/>
      </w:r>
    </w:p>
    <w:p>
      <w:pPr>
        <w:pStyle w:val="Normal"/>
        <w:numPr>
          <w:ilvl w:val="0"/>
          <w:numId w:val="45"/>
        </w:numPr>
        <w:rPr>
          <w:color w:val="FF0000"/>
          <w:sz w:val="24"/>
        </w:rPr>
      </w:pPr>
      <w:r>
        <w:rPr>
          <w:sz w:val="24"/>
        </w:rPr>
        <w:t>Although the GISB</w:t>
      </w:r>
      <w:r>
        <w:rPr>
          <w:rStyle w:val="FootnoteCharacters"/>
          <w:rStyle w:val="FootnoteReference"/>
          <w:sz w:val="24"/>
        </w:rPr>
        <w:footnoteReference w:id="2"/>
      </w:r>
      <w:r>
        <w:rPr>
          <w:sz w:val="24"/>
        </w:rPr>
        <w:t xml:space="preserve"> HTTP response acknowledges receipt of a communication (i.e. that some file was received at a specified time), this type of acknowledgement does not verify that the file could be decrypted and/or that it is a valid readable EDI X12 file with regard to content and structure.   Accordingly, parties must also transmit an EDI X12 997 functional acknowledgement. These acknowledgements serve two separate purposes; thus both will be required.</w:t>
      </w:r>
      <w:r>
        <w:br w:type="page"/>
      </w:r>
    </w:p>
    <w:p>
      <w:pPr>
        <w:pStyle w:val="Normal"/>
        <w:rPr>
          <w:color w:val="FF0000"/>
          <w:sz w:val="24"/>
        </w:rPr>
      </w:pPr>
      <w:r>
        <w:rPr>
          <w:color w:val="FF0000"/>
          <w:sz w:val="24"/>
        </w:rPr>
      </w:r>
    </w:p>
    <w:p>
      <w:pPr>
        <w:pStyle w:val="Heading2"/>
        <w:tabs>
          <w:tab w:val="left" w:pos="720" w:leader="none"/>
        </w:tabs>
        <w:ind w:hanging="720" w:start="720" w:end="0"/>
        <w:rPr/>
      </w:pPr>
      <w:bookmarkStart w:id="2" w:name="__RefHeading___Toc504980663"/>
      <w:bookmarkEnd w:id="2"/>
      <w:r>
        <w:rPr/>
        <w:t>III.</w:t>
        <w:tab/>
        <w:t>Transaction Processing Architecture</w:t>
      </w:r>
    </w:p>
    <w:p>
      <w:pPr>
        <w:pStyle w:val="Normal"/>
        <w:rPr/>
      </w:pPr>
      <w:r>
        <w:rPr>
          <w:sz w:val="24"/>
        </w:rPr>
        <w:br/>
        <w:t xml:space="preserve">New York’s </w:t>
      </w:r>
      <w:r>
        <w:rPr>
          <w:i/>
          <w:sz w:val="24"/>
        </w:rPr>
        <w:t>Transaction Processing Architecture</w:t>
      </w:r>
      <w:r>
        <w:rPr>
          <w:sz w:val="24"/>
        </w:rPr>
        <w:t xml:space="preserve"> document (Appendix B), submitted to the Commission as part of the October 10, 2000 filing, defines specific attributes of New York’s EDI transaction processing environment.  Attributes addressed are:</w:t>
      </w:r>
    </w:p>
    <w:p>
      <w:pPr>
        <w:pStyle w:val="Normal"/>
        <w:numPr>
          <w:ilvl w:val="0"/>
          <w:numId w:val="39"/>
        </w:numPr>
        <w:rPr>
          <w:sz w:val="24"/>
        </w:rPr>
      </w:pPr>
      <w:r>
        <w:rPr>
          <w:sz w:val="24"/>
        </w:rPr>
        <w:t>processing flow</w:t>
      </w:r>
    </w:p>
    <w:p>
      <w:pPr>
        <w:pStyle w:val="Normal"/>
        <w:numPr>
          <w:ilvl w:val="0"/>
          <w:numId w:val="39"/>
        </w:numPr>
        <w:rPr>
          <w:sz w:val="24"/>
        </w:rPr>
      </w:pPr>
      <w:r>
        <w:rPr>
          <w:sz w:val="24"/>
        </w:rPr>
        <w:t>response guidelines</w:t>
      </w:r>
    </w:p>
    <w:p>
      <w:pPr>
        <w:pStyle w:val="Normal"/>
        <w:numPr>
          <w:ilvl w:val="0"/>
          <w:numId w:val="39"/>
        </w:numPr>
        <w:rPr>
          <w:sz w:val="24"/>
        </w:rPr>
      </w:pPr>
      <w:r>
        <w:rPr>
          <w:sz w:val="24"/>
        </w:rPr>
        <w:t>processing rules  (e.g. first-in rule)</w:t>
      </w:r>
    </w:p>
    <w:p>
      <w:pPr>
        <w:pStyle w:val="Normal"/>
        <w:numPr>
          <w:ilvl w:val="0"/>
          <w:numId w:val="39"/>
        </w:numPr>
        <w:rPr>
          <w:sz w:val="24"/>
        </w:rPr>
      </w:pPr>
      <w:r>
        <w:rPr>
          <w:sz w:val="24"/>
        </w:rPr>
        <w:t>enveloping</w:t>
      </w:r>
    </w:p>
    <w:p>
      <w:pPr>
        <w:pStyle w:val="Normal"/>
        <w:numPr>
          <w:ilvl w:val="0"/>
          <w:numId w:val="39"/>
        </w:numPr>
        <w:rPr>
          <w:sz w:val="24"/>
        </w:rPr>
      </w:pPr>
      <w:r>
        <w:rPr>
          <w:sz w:val="24"/>
        </w:rPr>
        <w:t>tracking transactions (identifiers)</w:t>
      </w:r>
    </w:p>
    <w:p>
      <w:pPr>
        <w:pStyle w:val="Normal"/>
        <w:numPr>
          <w:ilvl w:val="0"/>
          <w:numId w:val="39"/>
        </w:numPr>
        <w:rPr>
          <w:vanish/>
          <w:sz w:val="24"/>
        </w:rPr>
      </w:pPr>
      <w:r>
        <w:rPr>
          <w:sz w:val="24"/>
        </w:rPr>
        <w:t>archiving &amp; auditing</w:t>
      </w:r>
    </w:p>
    <w:p>
      <w:pPr>
        <w:pStyle w:val="Normal"/>
        <w:rPr>
          <w:vanish/>
          <w:sz w:val="24"/>
        </w:rPr>
      </w:pPr>
      <w:r>
        <w:rPr>
          <w:vanish/>
          <w:sz w:val="24"/>
        </w:rPr>
      </w:r>
    </w:p>
    <w:p>
      <w:pPr>
        <w:pStyle w:val="Normal"/>
        <w:rPr>
          <w:color w:val="000000"/>
          <w:sz w:val="24"/>
        </w:rPr>
      </w:pPr>
      <w:r>
        <w:rPr>
          <w:color w:val="000000"/>
          <w:sz w:val="24"/>
        </w:rPr>
      </w:r>
    </w:p>
    <w:p>
      <w:pPr>
        <w:pStyle w:val="Normal"/>
        <w:rPr/>
      </w:pPr>
      <w:r>
        <w:rPr>
          <w:color w:val="000000"/>
          <w:sz w:val="24"/>
        </w:rPr>
        <w:t>In this document the Collaborative clarifies the enveloping/transport guidelines first presented in the October 10 filing as follows</w:t>
      </w:r>
      <w:r>
        <w:rPr>
          <w:rStyle w:val="FootnoteCharacters"/>
          <w:rStyle w:val="FootnoteReference"/>
          <w:color w:val="000000"/>
          <w:sz w:val="24"/>
        </w:rPr>
        <w:footnoteReference w:id="3"/>
      </w:r>
      <w:r>
        <w:rPr>
          <w:color w:val="000000"/>
          <w:sz w:val="24"/>
        </w:rPr>
        <w:t>:</w:t>
      </w:r>
    </w:p>
    <w:p>
      <w:pPr>
        <w:pStyle w:val="Normal"/>
        <w:numPr>
          <w:ilvl w:val="0"/>
          <w:numId w:val="47"/>
        </w:numPr>
        <w:rPr>
          <w:color w:val="000000"/>
          <w:sz w:val="24"/>
        </w:rPr>
      </w:pPr>
      <w:r>
        <w:rPr>
          <w:color w:val="000000"/>
          <w:sz w:val="24"/>
        </w:rPr>
        <w:t>One or more data files may be transmitted in an HTTP session.</w:t>
      </w:r>
      <w:r>
        <w:rPr>
          <w:rStyle w:val="FootnoteCharacters"/>
          <w:rStyle w:val="FootnoteReference"/>
          <w:color w:val="000000"/>
          <w:sz w:val="24"/>
        </w:rPr>
        <w:footnoteReference w:id="4"/>
      </w:r>
    </w:p>
    <w:p>
      <w:pPr>
        <w:pStyle w:val="Normal"/>
        <w:numPr>
          <w:ilvl w:val="0"/>
          <w:numId w:val="52"/>
        </w:numPr>
        <w:rPr>
          <w:color w:val="000000"/>
          <w:sz w:val="24"/>
        </w:rPr>
      </w:pPr>
      <w:r>
        <w:rPr>
          <w:color w:val="000000"/>
          <w:sz w:val="24"/>
        </w:rPr>
        <w:t>Only one ISA (envelope) may be transmitted in a data file</w:t>
      </w:r>
    </w:p>
    <w:p>
      <w:pPr>
        <w:pStyle w:val="Normal"/>
        <w:numPr>
          <w:ilvl w:val="0"/>
          <w:numId w:val="44"/>
        </w:numPr>
        <w:tabs>
          <w:tab w:val="clear" w:pos="720"/>
          <w:tab w:val="left" w:pos="1080" w:leader="none"/>
        </w:tabs>
        <w:ind w:hanging="360" w:start="1080" w:end="0"/>
        <w:rPr>
          <w:sz w:val="24"/>
        </w:rPr>
      </w:pPr>
      <w:r>
        <w:rPr>
          <w:sz w:val="24"/>
        </w:rPr>
        <w:t>Only one functional group (GS) will be used within an envelope (ISA).</w:t>
      </w:r>
    </w:p>
    <w:p>
      <w:pPr>
        <w:pStyle w:val="Normal"/>
        <w:numPr>
          <w:ilvl w:val="0"/>
          <w:numId w:val="44"/>
        </w:numPr>
        <w:tabs>
          <w:tab w:val="clear" w:pos="720"/>
          <w:tab w:val="left" w:pos="1080" w:leader="none"/>
        </w:tabs>
        <w:ind w:hanging="360" w:start="1080" w:end="0"/>
        <w:rPr>
          <w:color w:val="000000"/>
          <w:sz w:val="24"/>
        </w:rPr>
      </w:pPr>
      <w:r>
        <w:rPr>
          <w:sz w:val="24"/>
        </w:rPr>
        <w:t>Multiple transactions (ST) of the same type will be allowed within functional group (GS).  For example, multiple 814 transactions can be included in one functional group/envelope.</w:t>
      </w:r>
    </w:p>
    <w:p>
      <w:pPr>
        <w:pStyle w:val="Normal"/>
        <w:rPr>
          <w:color w:val="000000"/>
          <w:sz w:val="24"/>
        </w:rPr>
      </w:pPr>
      <w:r>
        <w:rPr>
          <w:color w:val="000000"/>
          <w:sz w:val="24"/>
        </w:rPr>
      </w:r>
    </w:p>
    <w:p>
      <w:pPr>
        <w:pStyle w:val="Normal"/>
        <w:rPr>
          <w:b/>
          <w:i/>
          <w:i/>
          <w:color w:val="000000"/>
          <w:sz w:val="24"/>
        </w:rPr>
      </w:pPr>
      <w:r>
        <w:rPr>
          <w:color w:val="000000"/>
          <w:sz w:val="24"/>
        </w:rPr>
        <w:t>The intent of these recommendations is to facilitate ease of processing, error identification and correction as well as preserve New York’s “First In” rule by easily and unequivocally being able to associate the “server post” time stamp with an ISA (envelope).</w:t>
      </w:r>
      <w:r>
        <w:br w:type="page"/>
      </w:r>
    </w:p>
    <w:p>
      <w:pPr>
        <w:pStyle w:val="Normal"/>
        <w:rPr/>
      </w:pPr>
      <w:r>
        <w:rPr>
          <w:b/>
          <w:sz w:val="36"/>
        </w:rPr>
        <w:t xml:space="preserve">IV. </w:t>
        <w:tab/>
        <w:t>Phase I Testing Program</w:t>
        <w:br/>
      </w:r>
      <w:r>
        <w:rPr/>
        <w:br/>
      </w:r>
      <w:r>
        <w:rPr>
          <w:sz w:val="24"/>
        </w:rPr>
        <w:t xml:space="preserve">In developing the Phase I test program, the Collaborative was guided by the </w:t>
      </w:r>
      <w:r>
        <w:rPr>
          <w:i/>
          <w:sz w:val="24"/>
        </w:rPr>
        <w:t>New York Electronic Data Interchange Test Plan Overview</w:t>
      </w:r>
      <w:r>
        <w:rPr>
          <w:sz w:val="24"/>
        </w:rPr>
        <w:t xml:space="preserve"> (or </w:t>
      </w:r>
      <w:r>
        <w:rPr>
          <w:i/>
          <w:sz w:val="24"/>
        </w:rPr>
        <w:t>Test Plan Overview</w:t>
      </w:r>
      <w:r>
        <w:rPr>
          <w:sz w:val="24"/>
        </w:rPr>
        <w:t xml:space="preserve">), presented to the Commission for approval as part of the October 10, 2000 filing.  Accordingly, it is important that the reader review the </w:t>
      </w:r>
      <w:r>
        <w:rPr>
          <w:i/>
          <w:sz w:val="24"/>
        </w:rPr>
        <w:t>Test Plan Overview</w:t>
      </w:r>
      <w:r>
        <w:rPr>
          <w:sz w:val="24"/>
        </w:rPr>
        <w:t xml:space="preserve"> (Appendix A) for a general understanding of New York’s approach to testing.</w:t>
      </w:r>
    </w:p>
    <w:p>
      <w:pPr>
        <w:pStyle w:val="Heading2"/>
        <w:ind w:hanging="0" w:start="0"/>
        <w:rPr>
          <w:sz w:val="24"/>
        </w:rPr>
      </w:pPr>
      <w:r>
        <w:rPr>
          <w:sz w:val="24"/>
        </w:rPr>
      </w:r>
    </w:p>
    <w:p>
      <w:pPr>
        <w:pStyle w:val="Heading3"/>
        <w:ind w:firstLine="360" w:start="0" w:end="0"/>
        <w:rPr/>
      </w:pPr>
      <w:bookmarkStart w:id="3" w:name="__RefHeading___Toc504980664"/>
      <w:bookmarkEnd w:id="3"/>
      <w:r>
        <w:rPr/>
        <w:t>A. General Requirements</w:t>
      </w:r>
    </w:p>
    <w:p>
      <w:pPr>
        <w:pStyle w:val="BodyText1"/>
        <w:ind w:start="360" w:end="0"/>
        <w:rPr/>
      </w:pPr>
      <w:r>
        <w:rPr/>
        <w:t xml:space="preserve">The four primary requirements for Phase I Testing were developed as part of the </w:t>
      </w:r>
      <w:r>
        <w:rPr>
          <w:i/>
        </w:rPr>
        <w:t>NY EDI Test Plan Overview</w:t>
      </w:r>
      <w:r>
        <w:rPr/>
        <w:t xml:space="preserve"> (Appendix A). The sub-bullets further define these four primary requirements. </w:t>
      </w:r>
    </w:p>
    <w:p>
      <w:pPr>
        <w:pStyle w:val="BodyText1"/>
        <w:numPr>
          <w:ilvl w:val="0"/>
          <w:numId w:val="8"/>
        </w:numPr>
        <w:tabs>
          <w:tab w:val="left" w:pos="720" w:leader="none"/>
        </w:tabs>
        <w:ind w:hanging="360" w:start="720" w:end="0"/>
        <w:rPr/>
      </w:pPr>
      <w:r>
        <w:rPr/>
        <w:t>All companies are required to create EDI transactions and submit them to the Test Moderator for syntactical verification.</w:t>
      </w:r>
    </w:p>
    <w:p>
      <w:pPr>
        <w:pStyle w:val="BodyText1"/>
        <w:numPr>
          <w:ilvl w:val="0"/>
          <w:numId w:val="54"/>
        </w:numPr>
        <w:tabs>
          <w:tab w:val="left" w:pos="720" w:leader="none"/>
        </w:tabs>
        <w:ind w:hanging="360" w:start="1080" w:end="0"/>
        <w:rPr/>
      </w:pPr>
      <w:r>
        <w:rPr/>
        <w:t>PSC Staff will serve as Test Moderator and will intervene, as needed, in any dispute resolution situations.</w:t>
      </w:r>
    </w:p>
    <w:p>
      <w:pPr>
        <w:pStyle w:val="BodyText1"/>
        <w:numPr>
          <w:ilvl w:val="0"/>
          <w:numId w:val="54"/>
        </w:numPr>
        <w:tabs>
          <w:tab w:val="left" w:pos="720" w:leader="none"/>
        </w:tabs>
        <w:ind w:hanging="360" w:start="1080" w:end="0"/>
        <w:rPr/>
      </w:pPr>
      <w:r>
        <w:rPr/>
        <w:t xml:space="preserve">Section V of this document, </w:t>
      </w:r>
      <w:r>
        <w:rPr>
          <w:i/>
        </w:rPr>
        <w:t>Phase I - X12 Syntax Test Specifications,</w:t>
      </w:r>
      <w:r>
        <w:rPr/>
        <w:t xml:space="preserve"> lists the Phase I test scenarios that each E/M and Utility must demonstrate.</w:t>
      </w:r>
    </w:p>
    <w:p>
      <w:pPr>
        <w:pStyle w:val="BodyText1"/>
        <w:numPr>
          <w:ilvl w:val="0"/>
          <w:numId w:val="8"/>
        </w:numPr>
        <w:tabs>
          <w:tab w:val="clear" w:pos="720"/>
        </w:tabs>
        <w:ind w:hanging="360" w:start="720" w:end="0"/>
        <w:rPr>
          <w:b/>
        </w:rPr>
      </w:pPr>
      <w:r>
        <w:rPr/>
        <w:t>All companies are required to demonstrate Data Transfer Mechanism (DTM) communications capability.</w:t>
      </w:r>
    </w:p>
    <w:p>
      <w:pPr>
        <w:pStyle w:val="BodyText1"/>
        <w:numPr>
          <w:ilvl w:val="0"/>
          <w:numId w:val="51"/>
        </w:numPr>
        <w:tabs>
          <w:tab w:val="left" w:pos="720" w:leader="none"/>
        </w:tabs>
        <w:ind w:hanging="360" w:start="1080" w:end="0"/>
        <w:rPr/>
      </w:pPr>
      <w:r>
        <w:rPr/>
        <w:t>All Utilities and E/Ms will demonstrate DTM connectivity capability to prospective trading partners.</w:t>
      </w:r>
    </w:p>
    <w:p>
      <w:pPr>
        <w:pStyle w:val="BodyText1"/>
        <w:numPr>
          <w:ilvl w:val="0"/>
          <w:numId w:val="8"/>
        </w:numPr>
        <w:tabs>
          <w:tab w:val="left" w:pos="720" w:leader="none"/>
        </w:tabs>
        <w:ind w:hanging="360" w:start="720" w:end="0"/>
        <w:rPr/>
      </w:pPr>
      <w:r>
        <w:rPr/>
        <w:t>All companies are required to successfully complete all Phase I requirements to progress to Phase II or Phase III testing. Phase II and III test schedules will be based on the order that Phase I certified E/Ms contact and coordinate with each Utility.  Each Utility will have responsibility to manage test schedules and queues.</w:t>
      </w:r>
    </w:p>
    <w:p>
      <w:pPr>
        <w:pStyle w:val="BodyText1"/>
        <w:numPr>
          <w:ilvl w:val="0"/>
          <w:numId w:val="8"/>
        </w:numPr>
        <w:tabs>
          <w:tab w:val="left" w:pos="720" w:leader="none"/>
        </w:tabs>
        <w:ind w:hanging="360" w:start="720" w:end="0"/>
        <w:rPr>
          <w:b/>
        </w:rPr>
      </w:pPr>
      <w:r>
        <w:rPr/>
        <w:t>PSC Staff will maintain and publish the list of companies that have satisfied Phase I testing requirements for each approved transaction set standard.</w:t>
        <w:br/>
      </w:r>
    </w:p>
    <w:p>
      <w:pPr>
        <w:pStyle w:val="Heading3"/>
        <w:ind w:hanging="0" w:start="0"/>
        <w:rPr/>
      </w:pPr>
      <w:r>
        <w:rPr/>
        <w:t xml:space="preserve">     </w:t>
      </w:r>
      <w:bookmarkStart w:id="4" w:name="__RefHeading___Toc504980665"/>
      <w:r>
        <w:rPr/>
        <w:t>B. Phase I Exit Criterion</w:t>
      </w:r>
      <w:bookmarkEnd w:id="4"/>
    </w:p>
    <w:p>
      <w:pPr>
        <w:pStyle w:val="EndnoteText"/>
        <w:rPr/>
      </w:pPr>
      <w:r>
        <w:rPr/>
      </w:r>
    </w:p>
    <w:p>
      <w:pPr>
        <w:pStyle w:val="Normal"/>
        <w:ind w:start="360" w:end="0"/>
        <w:rPr>
          <w:sz w:val="24"/>
        </w:rPr>
      </w:pPr>
      <w:r>
        <w:rPr>
          <w:sz w:val="24"/>
        </w:rPr>
        <w:t>All participants must satisfy the following exit criterion to fulfill the Phase I general requirements and to progress to Phase II and/or Phase III testing.</w:t>
        <w:br/>
      </w:r>
    </w:p>
    <w:p>
      <w:pPr>
        <w:pStyle w:val="BodyTextBullet"/>
        <w:numPr>
          <w:ilvl w:val="0"/>
          <w:numId w:val="30"/>
        </w:numPr>
        <w:tabs>
          <w:tab w:val="left" w:pos="720" w:leader="none"/>
          <w:tab w:val="left" w:pos="1080" w:leader="none"/>
        </w:tabs>
        <w:spacing w:before="0" w:after="0"/>
        <w:ind w:hanging="360" w:start="1080" w:end="0"/>
        <w:rPr>
          <w:strike/>
        </w:rPr>
      </w:pPr>
      <w:r>
        <w:rPr/>
        <w:t>Demonstration to and certification by Test Moderator (PSC Staff) that all required EDI transactions are compliant with NY transaction set standards (includes X12 compliance).</w:t>
      </w:r>
    </w:p>
    <w:p>
      <w:pPr>
        <w:pStyle w:val="BodyTextBullet"/>
        <w:numPr>
          <w:ilvl w:val="0"/>
          <w:numId w:val="24"/>
        </w:numPr>
        <w:tabs>
          <w:tab w:val="left" w:pos="720" w:leader="none"/>
          <w:tab w:val="left" w:pos="1080" w:leader="none"/>
        </w:tabs>
        <w:spacing w:before="0" w:after="0"/>
        <w:ind w:hanging="360" w:start="1080" w:end="0"/>
        <w:rPr/>
      </w:pPr>
      <w:r>
        <w:rPr/>
        <w:t>Demonstration of DTM capability to prospective trading partners.</w:t>
      </w:r>
      <w:r>
        <w:rPr>
          <w:b/>
          <w:i/>
        </w:rPr>
        <w:t xml:space="preserve"> </w:t>
      </w:r>
    </w:p>
    <w:p>
      <w:pPr>
        <w:pStyle w:val="Heading3"/>
        <w:ind w:hanging="0" w:start="0"/>
        <w:rPr>
          <w:strike/>
          <w:highlight w:val="magenta"/>
        </w:rPr>
      </w:pPr>
      <w:r>
        <w:rPr/>
        <w:t xml:space="preserve">     </w:t>
      </w:r>
      <w:bookmarkStart w:id="5" w:name="__RefHeading___Toc504980666"/>
      <w:r>
        <w:rPr/>
        <w:t>C. Phase I Testing Assumptions</w:t>
      </w:r>
      <w:bookmarkEnd w:id="5"/>
    </w:p>
    <w:p>
      <w:pPr>
        <w:pStyle w:val="BodyTextBullet"/>
        <w:numPr>
          <w:ilvl w:val="0"/>
          <w:numId w:val="48"/>
        </w:numPr>
        <w:rPr/>
      </w:pPr>
      <w:r>
        <w:rPr/>
        <w:t>All Utilities and E/Ms will be required to pass Phase I test requirements.</w:t>
      </w:r>
    </w:p>
    <w:p>
      <w:pPr>
        <w:pStyle w:val="BodyTextBullet"/>
        <w:numPr>
          <w:ilvl w:val="0"/>
          <w:numId w:val="48"/>
        </w:numPr>
        <w:rPr/>
      </w:pPr>
      <w:r>
        <w:rPr/>
        <w:t>E/Ms must meet all New York Public Service Commission (PSC) supplier eligibility requirements prior to entering Phase I EDI testing.</w:t>
      </w:r>
    </w:p>
    <w:p>
      <w:pPr>
        <w:pStyle w:val="BodyTextBullet"/>
        <w:numPr>
          <w:ilvl w:val="0"/>
          <w:numId w:val="48"/>
        </w:numPr>
        <w:rPr/>
      </w:pPr>
      <w:r>
        <w:rPr/>
        <w:t>Participants will use automated processes when testing (i.e., an EDI translator).</w:t>
      </w:r>
    </w:p>
    <w:p>
      <w:pPr>
        <w:pStyle w:val="BodyTextBullet"/>
        <w:numPr>
          <w:ilvl w:val="0"/>
          <w:numId w:val="48"/>
        </w:numPr>
        <w:rPr/>
      </w:pPr>
      <w:r>
        <w:rPr/>
        <w:t>PSC Staff will moderate Phase I X12 syntactical testing.</w:t>
      </w:r>
    </w:p>
    <w:p>
      <w:pPr>
        <w:pStyle w:val="Normal"/>
        <w:rPr/>
      </w:pPr>
      <w:r>
        <w:rPr/>
      </w:r>
    </w:p>
    <w:p>
      <w:pPr>
        <w:pStyle w:val="Heading3"/>
        <w:ind w:hanging="0" w:start="0"/>
        <w:rPr/>
      </w:pPr>
      <w:r>
        <w:rPr/>
        <w:t xml:space="preserve">     </w:t>
      </w:r>
      <w:bookmarkStart w:id="6" w:name="__RefHeading___Toc504980667"/>
      <w:r>
        <w:rPr/>
        <w:t>D. Phase I Critical Success Factors</w:t>
      </w:r>
      <w:bookmarkEnd w:id="6"/>
    </w:p>
    <w:p>
      <w:pPr>
        <w:pStyle w:val="BodyTextBullet"/>
        <w:numPr>
          <w:ilvl w:val="0"/>
          <w:numId w:val="2"/>
        </w:numPr>
        <w:rPr/>
      </w:pPr>
      <w:r>
        <w:rPr/>
        <w:t>Apply objective criteria to ensure companies are executing business processes and creating transactions as defined by applicable New York State business practices and technical standards.</w:t>
      </w:r>
    </w:p>
    <w:p>
      <w:pPr>
        <w:pStyle w:val="BodyTextBullet"/>
        <w:numPr>
          <w:ilvl w:val="0"/>
          <w:numId w:val="2"/>
        </w:numPr>
        <w:rPr/>
      </w:pPr>
      <w:r>
        <w:rPr/>
        <w:t>Companies have an EDI translator and associated “maps” in place to create EDI transactions that adhere to New York State standards.</w:t>
      </w:r>
    </w:p>
    <w:p>
      <w:pPr>
        <w:pStyle w:val="BodyTextBullet"/>
        <w:numPr>
          <w:ilvl w:val="0"/>
          <w:numId w:val="2"/>
        </w:numPr>
        <w:rPr/>
      </w:pPr>
      <w:r>
        <w:rPr/>
        <w:t>Companies are prepared to move into Phase II or III EDI testing (trading partner testing) using the New York State approved EDI transactions.</w:t>
      </w:r>
    </w:p>
    <w:p>
      <w:pPr>
        <w:pStyle w:val="BodyTextBullet"/>
        <w:numPr>
          <w:ilvl w:val="0"/>
          <w:numId w:val="2"/>
        </w:numPr>
        <w:rPr/>
      </w:pPr>
      <w:r>
        <w:rPr/>
        <w:t>Companies have the New York Internet Data Transfer Mechanism implemented and working properly.</w:t>
      </w:r>
    </w:p>
    <w:p>
      <w:pPr>
        <w:pStyle w:val="Normal"/>
        <w:rPr/>
      </w:pPr>
      <w:r>
        <w:rPr/>
      </w:r>
    </w:p>
    <w:p>
      <w:pPr>
        <w:pStyle w:val="Heading3"/>
        <w:ind w:hanging="0" w:start="0"/>
        <w:rPr/>
      </w:pPr>
      <w:r>
        <w:rPr/>
        <w:t xml:space="preserve">      </w:t>
      </w:r>
      <w:bookmarkStart w:id="7" w:name="__RefHeading___Toc504980668"/>
      <w:r>
        <w:rPr/>
        <w:t>E. Phase I Testing Scope</w:t>
      </w:r>
      <w:bookmarkEnd w:id="7"/>
    </w:p>
    <w:p>
      <w:pPr>
        <w:pStyle w:val="BodyText1"/>
        <w:numPr>
          <w:ilvl w:val="0"/>
          <w:numId w:val="6"/>
        </w:numPr>
        <w:tabs>
          <w:tab w:val="clear" w:pos="720"/>
          <w:tab w:val="left" w:pos="1080" w:leader="none"/>
        </w:tabs>
        <w:ind w:hanging="360" w:start="1080" w:end="0"/>
        <w:rPr>
          <w:strike/>
        </w:rPr>
      </w:pPr>
      <w:r>
        <w:rPr/>
        <w:t>The test scenarios for Phase I reflect all requests and responses associated with both gas and electric commodity services. However, companies will only be required to complete test scenarios for the commodities they currently offer.</w:t>
      </w:r>
    </w:p>
    <w:p>
      <w:pPr>
        <w:pStyle w:val="BodyText1"/>
        <w:numPr>
          <w:ilvl w:val="0"/>
          <w:numId w:val="27"/>
        </w:numPr>
        <w:rPr>
          <w:strike/>
        </w:rPr>
      </w:pPr>
      <w:r>
        <w:rPr/>
        <w:t xml:space="preserve">The EDI Phase I test scenarios reflect the variety of meter configurations which currently exist. These meter configurations are of particular interest with regard to the exchange of consumption data and include single, multiple (including summarized) and unmetered configurations.  Not all scenarios may be relevant for all test participants.  The Test Moderator, in conjunction with the test participant, will determine the relevant test scenarios for the participant. </w:t>
      </w:r>
    </w:p>
    <w:p>
      <w:pPr>
        <w:pStyle w:val="BodyText1"/>
        <w:numPr>
          <w:ilvl w:val="0"/>
          <w:numId w:val="27"/>
        </w:numPr>
        <w:rPr>
          <w:strike/>
        </w:rPr>
      </w:pPr>
      <w:r>
        <w:rPr/>
        <w:t>Volume testing will not be within the scope of Phase I testing.</w:t>
      </w:r>
    </w:p>
    <w:p>
      <w:pPr>
        <w:pStyle w:val="BodyText1"/>
        <w:numPr>
          <w:ilvl w:val="0"/>
          <w:numId w:val="27"/>
        </w:numPr>
        <w:rPr/>
      </w:pPr>
      <w:r>
        <w:rPr/>
        <w:t>The following  transaction set standards will be tested (additional test scenarios will be added to this document as additional transaction standards are developed and approved by the Commission):</w:t>
      </w:r>
    </w:p>
    <w:p>
      <w:pPr>
        <w:pStyle w:val="Normal"/>
        <w:numPr>
          <w:ilvl w:val="0"/>
          <w:numId w:val="49"/>
        </w:numPr>
        <w:tabs>
          <w:tab w:val="clear" w:pos="720"/>
          <w:tab w:val="left" w:pos="1440" w:leader="none"/>
        </w:tabs>
        <w:spacing w:lineRule="exact" w:line="240"/>
        <w:ind w:hanging="360" w:start="1440" w:end="0"/>
        <w:rPr/>
      </w:pPr>
      <w:r>
        <w:rPr/>
        <w:t>TS 814 Enrollment Request/Response (includes requests for secondary services)</w:t>
      </w:r>
    </w:p>
    <w:p>
      <w:pPr>
        <w:pStyle w:val="Normal"/>
        <w:numPr>
          <w:ilvl w:val="0"/>
          <w:numId w:val="49"/>
        </w:numPr>
        <w:tabs>
          <w:tab w:val="clear" w:pos="720"/>
          <w:tab w:val="left" w:pos="1440" w:leader="none"/>
        </w:tabs>
        <w:spacing w:lineRule="exact" w:line="240"/>
        <w:ind w:hanging="360" w:start="1440" w:end="0"/>
        <w:rPr/>
      </w:pPr>
      <w:r>
        <w:rPr/>
        <w:t>TS 814 Consumption History Request &amp; Response</w:t>
      </w:r>
    </w:p>
    <w:p>
      <w:pPr>
        <w:pStyle w:val="Normal"/>
        <w:numPr>
          <w:ilvl w:val="0"/>
          <w:numId w:val="49"/>
        </w:numPr>
        <w:tabs>
          <w:tab w:val="clear" w:pos="720"/>
          <w:tab w:val="left" w:pos="1440" w:leader="none"/>
        </w:tabs>
        <w:spacing w:lineRule="exact" w:line="240"/>
        <w:ind w:hanging="360" w:start="1440" w:end="0"/>
        <w:rPr/>
      </w:pPr>
      <w:r>
        <w:rPr/>
        <w:t>TS 814 Drop Request &amp; Response</w:t>
      </w:r>
    </w:p>
    <w:p>
      <w:pPr>
        <w:pStyle w:val="Normal"/>
        <w:numPr>
          <w:ilvl w:val="0"/>
          <w:numId w:val="49"/>
        </w:numPr>
        <w:tabs>
          <w:tab w:val="clear" w:pos="720"/>
          <w:tab w:val="left" w:pos="1440" w:leader="none"/>
        </w:tabs>
        <w:spacing w:lineRule="exact" w:line="240"/>
        <w:ind w:hanging="360" w:start="1440" w:end="0"/>
        <w:rPr/>
      </w:pPr>
      <w:r>
        <w:rPr/>
        <w:t>TS 824 Application Advice</w:t>
      </w:r>
    </w:p>
    <w:p>
      <w:pPr>
        <w:pStyle w:val="Normal"/>
        <w:numPr>
          <w:ilvl w:val="0"/>
          <w:numId w:val="49"/>
        </w:numPr>
        <w:tabs>
          <w:tab w:val="clear" w:pos="720"/>
          <w:tab w:val="left" w:pos="1440" w:leader="none"/>
        </w:tabs>
        <w:spacing w:lineRule="exact" w:line="240"/>
        <w:ind w:hanging="360" w:start="1440" w:end="0"/>
        <w:rPr/>
      </w:pPr>
      <w:r>
        <w:rPr/>
        <w:t>TS 867 Consumption History/Gas Profile</w:t>
      </w:r>
    </w:p>
    <w:p>
      <w:pPr>
        <w:pStyle w:val="Normal"/>
        <w:numPr>
          <w:ilvl w:val="0"/>
          <w:numId w:val="49"/>
        </w:numPr>
        <w:tabs>
          <w:tab w:val="clear" w:pos="720"/>
          <w:tab w:val="left" w:pos="1440" w:leader="none"/>
        </w:tabs>
        <w:spacing w:lineRule="exact" w:line="240"/>
        <w:ind w:hanging="360" w:start="1440" w:end="0"/>
        <w:rPr/>
      </w:pPr>
      <w:r>
        <w:rPr/>
        <w:t xml:space="preserve">TS 867 Monthly Usage </w:t>
      </w:r>
    </w:p>
    <w:p>
      <w:pPr>
        <w:pStyle w:val="Normal"/>
        <w:numPr>
          <w:ilvl w:val="0"/>
          <w:numId w:val="49"/>
        </w:numPr>
        <w:tabs>
          <w:tab w:val="clear" w:pos="720"/>
          <w:tab w:val="left" w:pos="1440" w:leader="none"/>
        </w:tabs>
        <w:spacing w:lineRule="exact" w:line="240"/>
        <w:ind w:hanging="360" w:start="1440" w:end="0"/>
        <w:rPr>
          <w:b/>
          <w:sz w:val="36"/>
        </w:rPr>
      </w:pPr>
      <w:r>
        <w:rPr/>
        <w:t>TS 997 Functional Acknowledgement</w:t>
      </w:r>
      <w:r>
        <w:br w:type="page"/>
      </w:r>
    </w:p>
    <w:p>
      <w:pPr>
        <w:pStyle w:val="Heading2"/>
        <w:ind w:hanging="0" w:start="450" w:end="0"/>
        <w:rPr/>
      </w:pPr>
      <w:bookmarkStart w:id="8" w:name="__RefHeading___Toc504980669"/>
      <w:r>
        <w:rPr/>
        <w:t>V. Phase I - X12 Syntax Test Specifications</w:t>
      </w:r>
      <w:bookmarkEnd w:id="8"/>
      <w:r>
        <w:rPr/>
        <w:br/>
        <w:t xml:space="preserve"> </w:t>
      </w:r>
    </w:p>
    <w:p>
      <w:pPr>
        <w:pStyle w:val="Heading3"/>
        <w:ind w:hanging="0" w:start="450" w:end="0"/>
        <w:rPr/>
      </w:pPr>
      <w:bookmarkStart w:id="9" w:name="__RefHeading___Toc504980670"/>
      <w:bookmarkEnd w:id="9"/>
      <w:r>
        <w:rPr/>
        <w:t>A. Organization of X12 Tests</w:t>
      </w:r>
    </w:p>
    <w:p>
      <w:pPr>
        <w:pStyle w:val="BodyText"/>
        <w:ind w:start="450" w:end="0"/>
        <w:jc w:val="start"/>
        <w:rPr/>
      </w:pPr>
      <w:r>
        <w:rPr/>
        <w:br/>
        <w:t>The New York EDI Phase I tests can be referred to as “base” or “unit” tests.  These tests will be used as building blocks in growing levels of integrated or “string” tests during subsequent testing phases.  Phase I tests are syntactical tests of the outbound EDI transaction.  Thus Phase I tests have been categorized by Utility and E/M.</w:t>
      </w:r>
    </w:p>
    <w:p>
      <w:pPr>
        <w:pStyle w:val="BodyText"/>
        <w:ind w:start="450" w:end="0"/>
        <w:jc w:val="start"/>
        <w:rPr/>
      </w:pPr>
      <w:r>
        <w:rPr/>
      </w:r>
    </w:p>
    <w:p>
      <w:pPr>
        <w:pStyle w:val="BodyText"/>
        <w:ind w:start="450" w:end="0"/>
        <w:jc w:val="start"/>
        <w:rPr/>
      </w:pPr>
      <w:r>
        <w:rPr/>
        <w:t xml:space="preserve">In Phase I testing, each party will create a test data set that represents an EDI transaction source.  This data set will then be processed through the company’s translator to create the outbound EDI data file.  PSC Staff will then verify and/or certify the outbound file created by the company is a valid New York X12 transaction file.  </w:t>
      </w:r>
    </w:p>
    <w:p>
      <w:pPr>
        <w:pStyle w:val="BodyText"/>
        <w:ind w:start="450" w:end="0"/>
        <w:jc w:val="start"/>
        <w:rPr/>
      </w:pPr>
      <w:r>
        <w:rPr/>
      </w:r>
    </w:p>
    <w:p>
      <w:pPr>
        <w:pStyle w:val="BodyText"/>
        <w:ind w:start="450" w:end="0"/>
        <w:jc w:val="start"/>
        <w:rPr/>
      </w:pPr>
      <w:r>
        <w:rPr/>
        <w:t>Tests for incoming transactions and transaction processing will be handled in Phase II and Phase III testing phases.</w:t>
      </w:r>
    </w:p>
    <w:p>
      <w:pPr>
        <w:pStyle w:val="BodyText"/>
        <w:ind w:start="450" w:end="0"/>
        <w:jc w:val="start"/>
        <w:rPr/>
      </w:pPr>
      <w:r>
        <w:rPr/>
      </w:r>
    </w:p>
    <w:p>
      <w:pPr>
        <w:pStyle w:val="BodyText"/>
        <w:ind w:start="450" w:end="0"/>
        <w:jc w:val="start"/>
        <w:rPr>
          <w:i/>
          <w:i/>
        </w:rPr>
      </w:pPr>
      <w:r>
        <w:rPr/>
        <w:t xml:space="preserve">During Phase I testing, companies may use judgment with regard to streamlining the testing process.  Depending upon company specific systems and processes, the Test Moderator and company may determine that the number of required Phase I tests can safely be reduced by eliminating duplicate or unnecessary tests.  For example, the company and the Test Moderator may determine that it is unnecessary to test both a Single Meter Gas Enrollment Accept and a Multiple Meter Gas Enrollment Accept.  Similarly, a Utility that never intends to respond to a combined enrollment (primary) and historical (secondary) request with </w:t>
      </w:r>
      <w:r>
        <w:rPr>
          <w:u w:val="single"/>
        </w:rPr>
        <w:t>one</w:t>
      </w:r>
      <w:r>
        <w:rPr/>
        <w:t xml:space="preserve"> response transaction, has no need to perform the associated Phase I test scenarios (e.g. test GSM-EAHA Enrollment Accept, History Accept)</w:t>
      </w:r>
    </w:p>
    <w:p>
      <w:pPr>
        <w:pStyle w:val="BodyText"/>
        <w:jc w:val="start"/>
        <w:rPr>
          <w:i/>
          <w:i/>
        </w:rPr>
      </w:pPr>
      <w:r>
        <w:rPr>
          <w:i/>
        </w:rPr>
      </w:r>
    </w:p>
    <w:p>
      <w:pPr>
        <w:pStyle w:val="Normal"/>
        <w:ind w:start="450" w:end="0"/>
        <w:rPr>
          <w:b/>
          <w:sz w:val="24"/>
        </w:rPr>
      </w:pPr>
      <w:r>
        <w:rPr>
          <w:b/>
          <w:sz w:val="24"/>
        </w:rPr>
        <w:t>Multiple Meter Tests</w:t>
      </w:r>
    </w:p>
    <w:p>
      <w:pPr>
        <w:pStyle w:val="BodyText"/>
        <w:ind w:start="720" w:end="0"/>
        <w:jc w:val="start"/>
        <w:rPr>
          <w:b/>
          <w:sz w:val="24"/>
        </w:rPr>
      </w:pPr>
      <w:r>
        <w:rPr>
          <w:b/>
          <w:sz w:val="24"/>
        </w:rPr>
      </w:r>
    </w:p>
    <w:p>
      <w:pPr>
        <w:pStyle w:val="BodyText"/>
        <w:ind w:start="450" w:end="0"/>
        <w:jc w:val="start"/>
        <w:rPr/>
      </w:pPr>
      <w:r>
        <w:rPr/>
        <w:t>For the Multiple Meter tests listed below, companies are required to have different meter data in each of the loops.  The objective is to simulate multiple meters on an account and to demonstrate that a company’s systems can properly handle customer accounts with multiple meter configurations.</w:t>
      </w:r>
    </w:p>
    <w:p>
      <w:pPr>
        <w:pStyle w:val="BodyText"/>
        <w:ind w:start="450" w:end="0"/>
        <w:jc w:val="start"/>
        <w:rPr/>
      </w:pPr>
      <w:r>
        <w:rPr/>
      </w:r>
    </w:p>
    <w:p>
      <w:pPr>
        <w:pStyle w:val="BodyText"/>
        <w:ind w:start="720" w:end="0"/>
        <w:jc w:val="start"/>
        <w:rPr/>
      </w:pPr>
      <w:r>
        <w:rPr/>
      </w:r>
    </w:p>
    <w:p>
      <w:pPr>
        <w:pStyle w:val="BodyText"/>
        <w:jc w:val="start"/>
        <w:rPr/>
      </w:pPr>
      <w:r>
        <w:rPr/>
      </w:r>
    </w:p>
    <w:p>
      <w:pPr>
        <w:pStyle w:val="BodyTextBullet"/>
        <w:numPr>
          <w:ilvl w:val="0"/>
          <w:numId w:val="0"/>
        </w:numPr>
        <w:spacing w:before="0" w:after="0"/>
        <w:ind w:hanging="0" w:start="0"/>
        <w:rPr>
          <w:b/>
          <w:sz w:val="20"/>
        </w:rPr>
      </w:pPr>
      <w:r>
        <w:rPr>
          <w:b/>
          <w:sz w:val="20"/>
        </w:rPr>
      </w:r>
      <w:r>
        <w:br w:type="page"/>
      </w:r>
    </w:p>
    <w:p>
      <w:pPr>
        <w:pStyle w:val="Heading3"/>
        <w:ind w:hanging="0" w:start="450" w:end="0"/>
        <w:rPr/>
      </w:pPr>
      <w:bookmarkStart w:id="10" w:name="__RefHeading___Toc504980671"/>
      <w:bookmarkEnd w:id="10"/>
      <w:r>
        <w:rPr/>
        <w:t>B. Utility Tests</w:t>
      </w:r>
    </w:p>
    <w:p>
      <w:pPr>
        <w:pStyle w:val="Normal"/>
        <w:ind w:start="450" w:end="0"/>
        <w:rPr>
          <w:sz w:val="24"/>
        </w:rPr>
      </w:pPr>
      <w:r>
        <w:rPr>
          <w:sz w:val="24"/>
        </w:rPr>
        <w:t>The Test Moderator will provide sample data to the Utility for purposes of the required scenarios (e.g. sample Utility DUNs numbers, sample customer meter numbers, etc.)</w:t>
      </w:r>
    </w:p>
    <w:p>
      <w:pPr>
        <w:pStyle w:val="Normal"/>
        <w:rPr>
          <w:sz w:val="24"/>
        </w:rPr>
      </w:pPr>
      <w:r>
        <w:rPr>
          <w:sz w:val="24"/>
        </w:rPr>
      </w:r>
    </w:p>
    <w:tbl>
      <w:tblPr>
        <w:tblW w:w="9468" w:type="dxa"/>
        <w:jc w:val="center"/>
        <w:tblInd w:w="0" w:type="dxa"/>
        <w:tblLayout w:type="fixed"/>
        <w:tblCellMar>
          <w:top w:w="0" w:type="dxa"/>
          <w:start w:w="108" w:type="dxa"/>
          <w:bottom w:w="0" w:type="dxa"/>
          <w:end w:w="108" w:type="dxa"/>
        </w:tblCellMar>
      </w:tblPr>
      <w:tblGrid>
        <w:gridCol w:w="1278"/>
        <w:gridCol w:w="36"/>
        <w:gridCol w:w="54"/>
        <w:gridCol w:w="630"/>
        <w:gridCol w:w="36"/>
        <w:gridCol w:w="7398"/>
        <w:gridCol w:w="36"/>
      </w:tblGrid>
      <w:tr>
        <w:trPr>
          <w:tblHeader w:val="true"/>
          <w:trHeight w:val="480" w:hRule="exact"/>
        </w:trPr>
        <w:tc>
          <w:tcPr>
            <w:tcW w:w="1314" w:type="dxa"/>
            <w:gridSpan w:val="2"/>
            <w:tcBorders>
              <w:top w:val="single" w:sz="6" w:space="0" w:color="000000"/>
              <w:start w:val="single" w:sz="6" w:space="0" w:color="000000"/>
              <w:bottom w:val="single" w:sz="6" w:space="0" w:color="000000"/>
              <w:end w:val="single" w:sz="6" w:space="0" w:color="000000"/>
            </w:tcBorders>
            <w:vAlign w:val="center"/>
          </w:tcPr>
          <w:p>
            <w:pPr>
              <w:pStyle w:val="TableTitle"/>
              <w:widowControl/>
              <w:bidi w:val="0"/>
              <w:spacing w:before="240" w:after="240"/>
              <w:rPr/>
            </w:pPr>
            <w:r>
              <w:rPr/>
              <w:t>TEST ID</w:t>
            </w:r>
          </w:p>
        </w:tc>
        <w:tc>
          <w:tcPr>
            <w:tcW w:w="720" w:type="dxa"/>
            <w:gridSpan w:val="3"/>
            <w:tcBorders>
              <w:top w:val="single" w:sz="6" w:space="0" w:color="000000"/>
              <w:start w:val="single" w:sz="6" w:space="0" w:color="000000"/>
              <w:bottom w:val="single" w:sz="6" w:space="0" w:color="000000"/>
              <w:end w:val="single" w:sz="6" w:space="0" w:color="000000"/>
            </w:tcBorders>
          </w:tcPr>
          <w:p>
            <w:pPr>
              <w:pStyle w:val="TableTitle"/>
              <w:widowControl/>
              <w:bidi w:val="0"/>
              <w:spacing w:before="240" w:after="240"/>
              <w:rPr/>
            </w:pPr>
            <w:r>
              <w:rPr/>
              <w:t>UNIT</w:t>
            </w:r>
          </w:p>
        </w:tc>
        <w:tc>
          <w:tcPr>
            <w:tcW w:w="7398" w:type="dxa"/>
            <w:tcBorders>
              <w:top w:val="single" w:sz="6" w:space="0" w:color="000000"/>
              <w:start w:val="single" w:sz="6" w:space="0" w:color="000000"/>
              <w:bottom w:val="single" w:sz="6" w:space="0" w:color="000000"/>
              <w:end w:val="single" w:sz="6" w:space="0" w:color="000000"/>
            </w:tcBorders>
          </w:tcPr>
          <w:p>
            <w:pPr>
              <w:pStyle w:val="TableTitle"/>
              <w:widowControl/>
              <w:bidi w:val="0"/>
              <w:spacing w:before="240" w:after="240"/>
              <w:rPr/>
            </w:pPr>
            <w:r>
              <w:rPr/>
              <w:t>TEST NAME</w:t>
            </w:r>
          </w:p>
        </w:tc>
        <w:tc>
          <w:tcPr>
            <w:tcW w:w="36" w:type="dxa"/>
            <w:tcBorders/>
            <w:tcMar>
              <w:start w:w="0" w:type="dxa"/>
              <w:end w:w="0" w:type="dxa"/>
            </w:tcMar>
          </w:tcPr>
          <w:p>
            <w:pPr>
              <w:pStyle w:val="Normal"/>
              <w:snapToGrid w:val="false"/>
              <w:rPr>
                <w:b/>
                <w:smallCaps/>
                <w:lang w:val="en-CA"/>
              </w:rPr>
            </w:pPr>
            <w:r>
              <w:rPr>
                <w:b/>
                <w:smallCaps/>
                <w:lang w:val="en-CA"/>
              </w:rPr>
            </w:r>
          </w:p>
        </w:tc>
      </w:tr>
      <w:tr>
        <w:trPr/>
        <w:tc>
          <w:tcPr>
            <w:tcW w:w="9468" w:type="dxa"/>
            <w:gridSpan w:val="7"/>
            <w:tcBorders/>
          </w:tcPr>
          <w:p>
            <w:pPr>
              <w:pStyle w:val="TableTitle"/>
              <w:spacing w:before="240" w:after="240"/>
              <w:rPr>
                <w:u w:val="single"/>
              </w:rPr>
            </w:pPr>
            <w:r>
              <w:rPr>
                <w:u w:val="single"/>
              </w:rPr>
              <w:t>Single Metered GAS Accounts Tests</w:t>
            </w:r>
          </w:p>
        </w:tc>
      </w:tr>
      <w:tr>
        <w:trPr>
          <w:trHeight w:val="360" w:hRule="exact"/>
        </w:trPr>
        <w:tc>
          <w:tcPr>
            <w:tcW w:w="1278" w:type="dxa"/>
            <w:tcBorders/>
          </w:tcPr>
          <w:p>
            <w:pPr>
              <w:pStyle w:val="TableText"/>
              <w:spacing w:before="120" w:after="120"/>
              <w:rPr/>
            </w:pPr>
            <w:r>
              <w:rPr/>
              <w:t>GSM-EA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r>
              <w:rPr>
                <w:rStyle w:val="FootnoteCharacters"/>
                <w:rStyle w:val="FootnoteReference"/>
              </w:rPr>
              <w:footnoteReference w:customMarkFollows="1" w:id="5"/>
              <w:t>*</w:t>
            </w:r>
          </w:p>
        </w:tc>
      </w:tr>
      <w:tr>
        <w:trPr>
          <w:trHeight w:val="360" w:hRule="exact"/>
        </w:trPr>
        <w:tc>
          <w:tcPr>
            <w:tcW w:w="1278" w:type="dxa"/>
            <w:tcBorders/>
          </w:tcPr>
          <w:p>
            <w:pPr>
              <w:pStyle w:val="TableText"/>
              <w:spacing w:before="120" w:after="120"/>
              <w:rPr/>
            </w:pPr>
            <w:r>
              <w:rPr/>
              <w:t>GSM-ER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278" w:type="dxa"/>
            <w:tcBorders/>
          </w:tcPr>
          <w:p>
            <w:pPr>
              <w:pStyle w:val="TableText"/>
              <w:spacing w:before="120" w:after="120"/>
              <w:rPr/>
            </w:pPr>
            <w:r>
              <w:rPr/>
              <w:t>GSM-EAHA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278" w:type="dxa"/>
            <w:tcBorders/>
          </w:tcPr>
          <w:p>
            <w:pPr>
              <w:pStyle w:val="TableText"/>
              <w:spacing w:before="120" w:after="120"/>
              <w:rPr/>
            </w:pPr>
            <w:r>
              <w:rPr/>
              <w:t>GSM-EAHR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278" w:type="dxa"/>
            <w:tcBorders/>
          </w:tcPr>
          <w:p>
            <w:pPr>
              <w:pStyle w:val="TableText"/>
              <w:spacing w:before="120" w:after="120"/>
              <w:rPr/>
            </w:pPr>
            <w:r>
              <w:rPr/>
              <w:t>GSM-ERHR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w:t>
            </w:r>
            <w:r>
              <w:rPr>
                <w:rStyle w:val="FootnoteCharacters"/>
                <w:rStyle w:val="FootnoteReference"/>
              </w:rPr>
              <w:footnoteReference w:customMarkFollows="1" w:id="6"/>
              <w:t>*</w:t>
            </w:r>
            <w:r>
              <w:rPr>
                <w:rStyle w:val="FootnoteCharacters"/>
              </w:rPr>
              <w:t>*</w:t>
            </w:r>
          </w:p>
        </w:tc>
      </w:tr>
      <w:tr>
        <w:trPr>
          <w:trHeight w:val="360" w:hRule="exact"/>
        </w:trPr>
        <w:tc>
          <w:tcPr>
            <w:tcW w:w="1278" w:type="dxa"/>
            <w:tcBorders/>
          </w:tcPr>
          <w:p>
            <w:pPr>
              <w:pStyle w:val="TableText"/>
              <w:spacing w:before="120" w:after="120"/>
              <w:rPr/>
            </w:pPr>
            <w:r>
              <w:rPr/>
              <w:t>GSM-HA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278" w:type="dxa"/>
            <w:tcBorders/>
          </w:tcPr>
          <w:p>
            <w:pPr>
              <w:pStyle w:val="TableText"/>
              <w:spacing w:before="120" w:after="120"/>
              <w:rPr/>
            </w:pPr>
            <w:r>
              <w:rPr/>
              <w:t>GSM-HR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Single Metered ELECTRIC Accounts Tests</w:t>
            </w:r>
          </w:p>
        </w:tc>
      </w:tr>
      <w:tr>
        <w:trPr>
          <w:trHeight w:val="360" w:hRule="exact"/>
        </w:trPr>
        <w:tc>
          <w:tcPr>
            <w:tcW w:w="1278" w:type="dxa"/>
            <w:tcBorders/>
          </w:tcPr>
          <w:p>
            <w:pPr>
              <w:pStyle w:val="TableText"/>
              <w:spacing w:before="120" w:after="120"/>
              <w:rPr/>
            </w:pPr>
            <w:r>
              <w:rPr/>
              <w:t>ESM-EA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p>
        </w:tc>
      </w:tr>
      <w:tr>
        <w:trPr>
          <w:trHeight w:val="360" w:hRule="exact"/>
        </w:trPr>
        <w:tc>
          <w:tcPr>
            <w:tcW w:w="1278" w:type="dxa"/>
            <w:tcBorders/>
          </w:tcPr>
          <w:p>
            <w:pPr>
              <w:pStyle w:val="TableText"/>
              <w:spacing w:before="120" w:after="120"/>
              <w:rPr/>
            </w:pPr>
            <w:r>
              <w:rPr/>
              <w:t>ESM-ER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278" w:type="dxa"/>
            <w:tcBorders/>
          </w:tcPr>
          <w:p>
            <w:pPr>
              <w:pStyle w:val="TableText"/>
              <w:spacing w:before="120" w:after="120"/>
              <w:rPr/>
            </w:pPr>
            <w:r>
              <w:rPr/>
              <w:t>ESM-EAHA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278" w:type="dxa"/>
            <w:tcBorders/>
          </w:tcPr>
          <w:p>
            <w:pPr>
              <w:pStyle w:val="TableText"/>
              <w:spacing w:before="120" w:after="120"/>
              <w:rPr/>
            </w:pPr>
            <w:r>
              <w:rPr/>
              <w:t>ESM-EAHR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278" w:type="dxa"/>
            <w:tcBorders/>
          </w:tcPr>
          <w:p>
            <w:pPr>
              <w:pStyle w:val="TableText"/>
              <w:spacing w:before="120" w:after="120"/>
              <w:rPr/>
            </w:pPr>
            <w:r>
              <w:rPr/>
              <w:t>ESM-ERHR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w:t>
            </w:r>
          </w:p>
        </w:tc>
      </w:tr>
      <w:tr>
        <w:trPr>
          <w:trHeight w:val="360" w:hRule="exact"/>
        </w:trPr>
        <w:tc>
          <w:tcPr>
            <w:tcW w:w="1278" w:type="dxa"/>
            <w:tcBorders/>
          </w:tcPr>
          <w:p>
            <w:pPr>
              <w:pStyle w:val="TableText"/>
              <w:spacing w:before="120" w:after="120"/>
              <w:rPr/>
            </w:pPr>
            <w:r>
              <w:rPr/>
              <w:t>ESM-HA</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278" w:type="dxa"/>
            <w:tcBorders/>
          </w:tcPr>
          <w:p>
            <w:pPr>
              <w:pStyle w:val="TableText"/>
              <w:spacing w:before="120" w:after="120"/>
              <w:rPr/>
            </w:pPr>
            <w:r>
              <w:rPr/>
              <w:t>ESM-HR</w:t>
            </w:r>
          </w:p>
        </w:tc>
        <w:tc>
          <w:tcPr>
            <w:tcW w:w="720" w:type="dxa"/>
            <w:gridSpan w:val="3"/>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Multiple Metered GAS Accounts Tests</w:t>
            </w:r>
          </w:p>
        </w:tc>
      </w:tr>
      <w:tr>
        <w:trPr>
          <w:trHeight w:val="360" w:hRule="exact"/>
        </w:trPr>
        <w:tc>
          <w:tcPr>
            <w:tcW w:w="1368" w:type="dxa"/>
            <w:gridSpan w:val="3"/>
            <w:tcBorders/>
          </w:tcPr>
          <w:p>
            <w:pPr>
              <w:pStyle w:val="TableText"/>
              <w:spacing w:before="120" w:after="120"/>
              <w:rPr/>
            </w:pPr>
            <w:r>
              <w:rPr/>
              <w:t>GMM-EA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p>
        </w:tc>
      </w:tr>
      <w:tr>
        <w:trPr>
          <w:trHeight w:val="360" w:hRule="exact"/>
        </w:trPr>
        <w:tc>
          <w:tcPr>
            <w:tcW w:w="1368" w:type="dxa"/>
            <w:gridSpan w:val="3"/>
            <w:tcBorders/>
          </w:tcPr>
          <w:p>
            <w:pPr>
              <w:pStyle w:val="TableText"/>
              <w:spacing w:before="120" w:after="120"/>
              <w:rPr/>
            </w:pPr>
            <w:r>
              <w:rPr/>
              <w:t>GMM-ER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368" w:type="dxa"/>
            <w:gridSpan w:val="3"/>
            <w:tcBorders/>
          </w:tcPr>
          <w:p>
            <w:pPr>
              <w:pStyle w:val="TableText"/>
              <w:spacing w:before="120" w:after="120"/>
              <w:rPr/>
            </w:pPr>
            <w:r>
              <w:rPr/>
              <w:t>GMM-EAHA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368" w:type="dxa"/>
            <w:gridSpan w:val="3"/>
            <w:tcBorders/>
          </w:tcPr>
          <w:p>
            <w:pPr>
              <w:pStyle w:val="TableText"/>
              <w:spacing w:before="120" w:after="120"/>
              <w:rPr/>
            </w:pPr>
            <w:r>
              <w:rPr/>
              <w:t>GMM-EAHR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368" w:type="dxa"/>
            <w:gridSpan w:val="3"/>
            <w:tcBorders/>
          </w:tcPr>
          <w:p>
            <w:pPr>
              <w:pStyle w:val="TableText"/>
              <w:spacing w:before="120" w:after="120"/>
              <w:rPr/>
            </w:pPr>
            <w:r>
              <w:rPr/>
              <w:t>GMM-ERHR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 **</w:t>
            </w:r>
          </w:p>
        </w:tc>
      </w:tr>
      <w:tr>
        <w:trPr>
          <w:trHeight w:val="360" w:hRule="exact"/>
        </w:trPr>
        <w:tc>
          <w:tcPr>
            <w:tcW w:w="1368" w:type="dxa"/>
            <w:gridSpan w:val="3"/>
            <w:tcBorders/>
          </w:tcPr>
          <w:p>
            <w:pPr>
              <w:pStyle w:val="TableText"/>
              <w:spacing w:before="120" w:after="120"/>
              <w:rPr/>
            </w:pPr>
            <w:r>
              <w:rPr/>
              <w:t>GMM-HA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368" w:type="dxa"/>
            <w:gridSpan w:val="3"/>
            <w:tcBorders/>
          </w:tcPr>
          <w:p>
            <w:pPr>
              <w:pStyle w:val="TableText"/>
              <w:spacing w:before="120" w:after="120"/>
              <w:rPr/>
            </w:pPr>
            <w:r>
              <w:rPr/>
              <w:t>GMM-HR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Multiple Metered ELECTRIC Accounts Tests</w:t>
            </w:r>
          </w:p>
        </w:tc>
      </w:tr>
      <w:tr>
        <w:trPr>
          <w:trHeight w:val="360" w:hRule="exact"/>
        </w:trPr>
        <w:tc>
          <w:tcPr>
            <w:tcW w:w="1368" w:type="dxa"/>
            <w:gridSpan w:val="3"/>
            <w:tcBorders/>
          </w:tcPr>
          <w:p>
            <w:pPr>
              <w:pStyle w:val="TableText"/>
              <w:spacing w:before="120" w:after="120"/>
              <w:rPr/>
            </w:pPr>
            <w:r>
              <w:rPr/>
              <w:t>EMM-EA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p>
        </w:tc>
      </w:tr>
      <w:tr>
        <w:trPr>
          <w:trHeight w:val="360" w:hRule="exact"/>
        </w:trPr>
        <w:tc>
          <w:tcPr>
            <w:tcW w:w="1368" w:type="dxa"/>
            <w:gridSpan w:val="3"/>
            <w:tcBorders/>
          </w:tcPr>
          <w:p>
            <w:pPr>
              <w:pStyle w:val="TableText"/>
              <w:spacing w:before="120" w:after="120"/>
              <w:rPr/>
            </w:pPr>
            <w:r>
              <w:rPr/>
              <w:t>EMM-ER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368" w:type="dxa"/>
            <w:gridSpan w:val="3"/>
            <w:tcBorders/>
          </w:tcPr>
          <w:p>
            <w:pPr>
              <w:pStyle w:val="TableText"/>
              <w:spacing w:before="120" w:after="120"/>
              <w:rPr/>
            </w:pPr>
            <w:r>
              <w:rPr/>
              <w:t>EMM-EAHA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368" w:type="dxa"/>
            <w:gridSpan w:val="3"/>
            <w:tcBorders/>
          </w:tcPr>
          <w:p>
            <w:pPr>
              <w:pStyle w:val="TableText"/>
              <w:spacing w:before="120" w:after="120"/>
              <w:rPr/>
            </w:pPr>
            <w:r>
              <w:rPr/>
              <w:t>EMM-EAHR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368" w:type="dxa"/>
            <w:gridSpan w:val="3"/>
            <w:tcBorders/>
          </w:tcPr>
          <w:p>
            <w:pPr>
              <w:pStyle w:val="TableText"/>
              <w:spacing w:before="120" w:after="120"/>
              <w:rPr/>
            </w:pPr>
            <w:r>
              <w:rPr/>
              <w:t>EMM-ERHR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w:t>
            </w:r>
          </w:p>
        </w:tc>
      </w:tr>
      <w:tr>
        <w:trPr>
          <w:trHeight w:val="360" w:hRule="exact"/>
        </w:trPr>
        <w:tc>
          <w:tcPr>
            <w:tcW w:w="1368" w:type="dxa"/>
            <w:gridSpan w:val="3"/>
            <w:tcBorders/>
          </w:tcPr>
          <w:p>
            <w:pPr>
              <w:pStyle w:val="TableText"/>
              <w:spacing w:before="120" w:after="120"/>
              <w:rPr/>
            </w:pPr>
            <w:r>
              <w:rPr/>
              <w:t>EMM-HA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368" w:type="dxa"/>
            <w:gridSpan w:val="3"/>
            <w:tcBorders/>
          </w:tcPr>
          <w:p>
            <w:pPr>
              <w:pStyle w:val="TableText"/>
              <w:spacing w:before="120" w:after="120"/>
              <w:rPr/>
            </w:pPr>
            <w:r>
              <w:rPr/>
              <w:t>EMM-HR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Unmetered GAS Accounts Tests</w:t>
            </w:r>
          </w:p>
        </w:tc>
      </w:tr>
      <w:tr>
        <w:trPr>
          <w:trHeight w:val="360" w:hRule="exact"/>
        </w:trPr>
        <w:tc>
          <w:tcPr>
            <w:tcW w:w="1368" w:type="dxa"/>
            <w:gridSpan w:val="3"/>
            <w:tcBorders/>
          </w:tcPr>
          <w:p>
            <w:pPr>
              <w:pStyle w:val="TableText"/>
              <w:spacing w:before="120" w:after="120"/>
              <w:rPr/>
            </w:pPr>
            <w:r>
              <w:rPr/>
              <w:t>GUM-EA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p>
        </w:tc>
      </w:tr>
      <w:tr>
        <w:trPr>
          <w:trHeight w:val="360" w:hRule="exact"/>
        </w:trPr>
        <w:tc>
          <w:tcPr>
            <w:tcW w:w="1368" w:type="dxa"/>
            <w:gridSpan w:val="3"/>
            <w:tcBorders/>
          </w:tcPr>
          <w:p>
            <w:pPr>
              <w:pStyle w:val="TableText"/>
              <w:spacing w:before="120" w:after="120"/>
              <w:rPr/>
            </w:pPr>
            <w:r>
              <w:rPr/>
              <w:t>GUM-ER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368" w:type="dxa"/>
            <w:gridSpan w:val="3"/>
            <w:tcBorders/>
          </w:tcPr>
          <w:p>
            <w:pPr>
              <w:pStyle w:val="TableText"/>
              <w:spacing w:before="120" w:after="120"/>
              <w:rPr/>
            </w:pPr>
            <w:r>
              <w:rPr/>
              <w:t>GUM-EAHA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368" w:type="dxa"/>
            <w:gridSpan w:val="3"/>
            <w:tcBorders/>
          </w:tcPr>
          <w:p>
            <w:pPr>
              <w:pStyle w:val="TableText"/>
              <w:spacing w:before="120" w:after="120"/>
              <w:rPr/>
            </w:pPr>
            <w:r>
              <w:rPr/>
              <w:t>GUM-EAHR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368" w:type="dxa"/>
            <w:gridSpan w:val="3"/>
            <w:tcBorders/>
          </w:tcPr>
          <w:p>
            <w:pPr>
              <w:pStyle w:val="TableText"/>
              <w:spacing w:before="120" w:after="120"/>
              <w:rPr/>
            </w:pPr>
            <w:r>
              <w:rPr/>
              <w:t>GUM-ERHR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w:t>
            </w:r>
          </w:p>
        </w:tc>
      </w:tr>
      <w:tr>
        <w:trPr>
          <w:trHeight w:val="360" w:hRule="exact"/>
        </w:trPr>
        <w:tc>
          <w:tcPr>
            <w:tcW w:w="1368" w:type="dxa"/>
            <w:gridSpan w:val="3"/>
            <w:tcBorders/>
          </w:tcPr>
          <w:p>
            <w:pPr>
              <w:pStyle w:val="TableText"/>
              <w:spacing w:before="120" w:after="120"/>
              <w:rPr/>
            </w:pPr>
            <w:r>
              <w:rPr/>
              <w:t>GUM-HA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368" w:type="dxa"/>
            <w:gridSpan w:val="3"/>
            <w:tcBorders/>
          </w:tcPr>
          <w:p>
            <w:pPr>
              <w:pStyle w:val="TableText"/>
              <w:spacing w:before="120" w:after="120"/>
              <w:rPr/>
            </w:pPr>
            <w:r>
              <w:rPr/>
              <w:t>GUM-HR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Unmetered ELECTRIC Accounts Tests</w:t>
            </w:r>
          </w:p>
        </w:tc>
      </w:tr>
      <w:tr>
        <w:trPr>
          <w:trHeight w:val="360" w:hRule="exact"/>
        </w:trPr>
        <w:tc>
          <w:tcPr>
            <w:tcW w:w="1368" w:type="dxa"/>
            <w:gridSpan w:val="3"/>
            <w:tcBorders/>
          </w:tcPr>
          <w:p>
            <w:pPr>
              <w:pStyle w:val="TableText"/>
              <w:spacing w:before="120" w:after="120"/>
              <w:rPr/>
            </w:pPr>
            <w:r>
              <w:rPr/>
              <w:t>EUM-EA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w:t>
            </w:r>
          </w:p>
        </w:tc>
      </w:tr>
      <w:tr>
        <w:trPr>
          <w:trHeight w:val="360" w:hRule="exact"/>
        </w:trPr>
        <w:tc>
          <w:tcPr>
            <w:tcW w:w="1368" w:type="dxa"/>
            <w:gridSpan w:val="3"/>
            <w:tcBorders/>
          </w:tcPr>
          <w:p>
            <w:pPr>
              <w:pStyle w:val="TableText"/>
              <w:spacing w:before="120" w:after="120"/>
              <w:rPr/>
            </w:pPr>
            <w:r>
              <w:rPr/>
              <w:t>EUM-ER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w:t>
            </w:r>
          </w:p>
        </w:tc>
      </w:tr>
      <w:tr>
        <w:trPr>
          <w:trHeight w:val="360" w:hRule="exact"/>
        </w:trPr>
        <w:tc>
          <w:tcPr>
            <w:tcW w:w="1368" w:type="dxa"/>
            <w:gridSpan w:val="3"/>
            <w:tcBorders/>
          </w:tcPr>
          <w:p>
            <w:pPr>
              <w:pStyle w:val="TableText"/>
              <w:spacing w:before="120" w:after="120"/>
              <w:rPr/>
            </w:pPr>
            <w:r>
              <w:rPr/>
              <w:t>EUM-EAHA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Accept</w:t>
            </w:r>
          </w:p>
        </w:tc>
      </w:tr>
      <w:tr>
        <w:trPr>
          <w:trHeight w:val="360" w:hRule="exact"/>
        </w:trPr>
        <w:tc>
          <w:tcPr>
            <w:tcW w:w="1368" w:type="dxa"/>
            <w:gridSpan w:val="3"/>
            <w:tcBorders/>
          </w:tcPr>
          <w:p>
            <w:pPr>
              <w:pStyle w:val="TableText"/>
              <w:spacing w:before="120" w:after="120"/>
              <w:rPr/>
            </w:pPr>
            <w:r>
              <w:rPr/>
              <w:t>EUM-EAHR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Accept, History Reject</w:t>
            </w:r>
          </w:p>
        </w:tc>
      </w:tr>
      <w:tr>
        <w:trPr>
          <w:trHeight w:val="360" w:hRule="exact"/>
        </w:trPr>
        <w:tc>
          <w:tcPr>
            <w:tcW w:w="1368" w:type="dxa"/>
            <w:gridSpan w:val="3"/>
            <w:tcBorders/>
          </w:tcPr>
          <w:p>
            <w:pPr>
              <w:pStyle w:val="TableText"/>
              <w:spacing w:before="120" w:after="120"/>
              <w:rPr/>
            </w:pPr>
            <w:r>
              <w:rPr/>
              <w:t>EUM-ERHR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Enrollment Reject, History Reject</w:t>
            </w:r>
            <w:r>
              <w:rPr>
                <w:rStyle w:val="FootnoteCharacters"/>
                <w:rStyle w:val="FootnoteReference"/>
              </w:rPr>
              <w:footnoteReference w:customMarkFollows="1" w:id="7"/>
              <w:t>*</w:t>
            </w:r>
          </w:p>
        </w:tc>
      </w:tr>
      <w:tr>
        <w:trPr>
          <w:trHeight w:val="360" w:hRule="exact"/>
        </w:trPr>
        <w:tc>
          <w:tcPr>
            <w:tcW w:w="1368" w:type="dxa"/>
            <w:gridSpan w:val="3"/>
            <w:tcBorders/>
          </w:tcPr>
          <w:p>
            <w:pPr>
              <w:pStyle w:val="TableText"/>
              <w:spacing w:before="120" w:after="120"/>
              <w:rPr/>
            </w:pPr>
            <w:r>
              <w:rPr/>
              <w:t>EUM-HA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Accept</w:t>
            </w:r>
          </w:p>
        </w:tc>
      </w:tr>
      <w:tr>
        <w:trPr>
          <w:trHeight w:val="360" w:hRule="exact"/>
        </w:trPr>
        <w:tc>
          <w:tcPr>
            <w:tcW w:w="1368" w:type="dxa"/>
            <w:gridSpan w:val="3"/>
            <w:tcBorders/>
          </w:tcPr>
          <w:p>
            <w:pPr>
              <w:pStyle w:val="TableText"/>
              <w:spacing w:before="120" w:after="120"/>
              <w:rPr/>
            </w:pPr>
            <w:r>
              <w:rPr/>
              <w:t>EUM-HR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History Reject</w:t>
            </w:r>
          </w:p>
        </w:tc>
      </w:tr>
      <w:tr>
        <w:trPr/>
        <w:tc>
          <w:tcPr>
            <w:tcW w:w="9468" w:type="dxa"/>
            <w:gridSpan w:val="7"/>
            <w:tcBorders/>
          </w:tcPr>
          <w:p>
            <w:pPr>
              <w:pStyle w:val="TableTitle"/>
              <w:spacing w:before="240" w:after="240"/>
              <w:rPr>
                <w:u w:val="single"/>
              </w:rPr>
            </w:pPr>
            <w:r>
              <w:rPr>
                <w:u w:val="single"/>
              </w:rPr>
              <w:t>Drop Tests</w:t>
            </w:r>
          </w:p>
        </w:tc>
      </w:tr>
      <w:tr>
        <w:trPr>
          <w:trHeight w:val="360" w:hRule="exact"/>
        </w:trPr>
        <w:tc>
          <w:tcPr>
            <w:tcW w:w="1368" w:type="dxa"/>
            <w:gridSpan w:val="3"/>
            <w:tcBorders/>
          </w:tcPr>
          <w:p>
            <w:pPr>
              <w:pStyle w:val="TableText"/>
              <w:spacing w:before="120" w:after="120"/>
              <w:rPr/>
            </w:pPr>
            <w:r>
              <w:rPr/>
              <w:t>U-DR</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Utility Drop Request</w:t>
            </w:r>
          </w:p>
        </w:tc>
      </w:tr>
      <w:tr>
        <w:trPr>
          <w:trHeight w:val="360" w:hRule="exact"/>
        </w:trPr>
        <w:tc>
          <w:tcPr>
            <w:tcW w:w="1368" w:type="dxa"/>
            <w:gridSpan w:val="3"/>
            <w:tcBorders/>
          </w:tcPr>
          <w:p>
            <w:pPr>
              <w:pStyle w:val="TableText"/>
              <w:spacing w:before="120" w:after="120"/>
              <w:rPr/>
            </w:pPr>
            <w:r>
              <w:rPr/>
              <w:t>U-DA</w:t>
            </w:r>
          </w:p>
        </w:tc>
        <w:tc>
          <w:tcPr>
            <w:tcW w:w="630" w:type="dxa"/>
            <w:tcBorders/>
          </w:tcPr>
          <w:p>
            <w:pPr>
              <w:pStyle w:val="TableText"/>
              <w:spacing w:before="120" w:after="120"/>
              <w:rPr/>
            </w:pPr>
            <w:r>
              <w:rPr/>
              <w:t>814</w:t>
            </w:r>
          </w:p>
        </w:tc>
        <w:tc>
          <w:tcPr>
            <w:tcW w:w="7470" w:type="dxa"/>
            <w:gridSpan w:val="3"/>
            <w:tcBorders/>
          </w:tcPr>
          <w:p>
            <w:pPr>
              <w:pStyle w:val="TableText"/>
              <w:spacing w:before="120" w:after="120"/>
              <w:rPr/>
            </w:pPr>
            <w:r>
              <w:rPr/>
              <w:t>Utility Drop Response Accept</w:t>
            </w:r>
          </w:p>
        </w:tc>
      </w:tr>
      <w:tr>
        <w:trPr/>
        <w:tc>
          <w:tcPr>
            <w:tcW w:w="9468" w:type="dxa"/>
            <w:gridSpan w:val="7"/>
            <w:tcBorders/>
          </w:tcPr>
          <w:p>
            <w:pPr>
              <w:pStyle w:val="TableTitle"/>
              <w:spacing w:before="240" w:after="240"/>
              <w:rPr>
                <w:u w:val="single"/>
              </w:rPr>
            </w:pPr>
            <w:r>
              <w:rPr>
                <w:u w:val="single"/>
              </w:rPr>
              <w:t>Profile History Tests (primary or secondary request responses)</w:t>
            </w:r>
          </w:p>
        </w:tc>
      </w:tr>
      <w:tr>
        <w:trPr>
          <w:trHeight w:val="360" w:hRule="exact"/>
        </w:trPr>
        <w:tc>
          <w:tcPr>
            <w:tcW w:w="1368" w:type="dxa"/>
            <w:gridSpan w:val="3"/>
            <w:tcBorders/>
          </w:tcPr>
          <w:p>
            <w:pPr>
              <w:pStyle w:val="TableText"/>
              <w:spacing w:before="120" w:after="120"/>
              <w:rPr/>
            </w:pPr>
            <w:r>
              <w:rPr/>
              <w:t>G-PH</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 xml:space="preserve">Profile History GAS Account </w:t>
            </w:r>
            <w:r>
              <w:rPr>
                <w:rStyle w:val="FootnoteCharacters"/>
                <w:rStyle w:val="FootnoteReference"/>
              </w:rPr>
              <w:footnoteReference w:customMarkFollows="1" w:id="8"/>
              <w:t>*</w:t>
            </w:r>
          </w:p>
        </w:tc>
      </w:tr>
      <w:tr>
        <w:trPr/>
        <w:tc>
          <w:tcPr>
            <w:tcW w:w="9468" w:type="dxa"/>
            <w:gridSpan w:val="7"/>
            <w:tcBorders/>
          </w:tcPr>
          <w:p>
            <w:pPr>
              <w:pStyle w:val="TableTitle"/>
              <w:spacing w:before="240" w:after="240"/>
              <w:rPr>
                <w:u w:val="single"/>
              </w:rPr>
            </w:pPr>
            <w:r>
              <w:rPr>
                <w:u w:val="single"/>
              </w:rPr>
              <w:t>Actual History Tests (primary or secondary request responses)</w:t>
            </w:r>
          </w:p>
        </w:tc>
      </w:tr>
      <w:tr>
        <w:trPr>
          <w:trHeight w:val="360" w:hRule="exact"/>
        </w:trPr>
        <w:tc>
          <w:tcPr>
            <w:tcW w:w="1368" w:type="dxa"/>
            <w:gridSpan w:val="3"/>
            <w:tcBorders/>
          </w:tcPr>
          <w:p>
            <w:pPr>
              <w:pStyle w:val="TableText"/>
              <w:spacing w:before="120" w:after="120"/>
              <w:rPr/>
            </w:pPr>
            <w:r>
              <w:rPr/>
              <w:t>GA-SM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Single Metered GAS Account</w:t>
            </w:r>
          </w:p>
        </w:tc>
      </w:tr>
      <w:tr>
        <w:trPr>
          <w:trHeight w:val="360" w:hRule="exact"/>
        </w:trPr>
        <w:tc>
          <w:tcPr>
            <w:tcW w:w="1368" w:type="dxa"/>
            <w:gridSpan w:val="3"/>
            <w:tcBorders/>
          </w:tcPr>
          <w:p>
            <w:pPr>
              <w:pStyle w:val="TableText"/>
              <w:spacing w:before="120" w:after="120"/>
              <w:rPr/>
            </w:pPr>
            <w:r>
              <w:rPr/>
              <w:t>GA-MM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Multiple Metered GAS Account</w:t>
            </w:r>
          </w:p>
        </w:tc>
      </w:tr>
      <w:tr>
        <w:trPr>
          <w:trHeight w:val="360" w:hRule="exact"/>
        </w:trPr>
        <w:tc>
          <w:tcPr>
            <w:tcW w:w="1368" w:type="dxa"/>
            <w:gridSpan w:val="3"/>
            <w:tcBorders/>
          </w:tcPr>
          <w:p>
            <w:pPr>
              <w:pStyle w:val="TableText"/>
              <w:spacing w:before="120" w:after="120"/>
              <w:rPr/>
            </w:pPr>
            <w:r>
              <w:rPr/>
              <w:t>GA-UM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Unmetered GAS Account</w:t>
            </w:r>
          </w:p>
        </w:tc>
      </w:tr>
      <w:tr>
        <w:trPr>
          <w:trHeight w:val="360" w:hRule="exact"/>
        </w:trPr>
        <w:tc>
          <w:tcPr>
            <w:tcW w:w="1368" w:type="dxa"/>
            <w:gridSpan w:val="3"/>
            <w:tcBorders/>
          </w:tcPr>
          <w:p>
            <w:pPr>
              <w:pStyle w:val="TableText"/>
              <w:spacing w:before="120" w:after="120"/>
              <w:rPr/>
            </w:pPr>
            <w:r>
              <w:rPr/>
              <w:t>EA-SM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Single Metered ELECTRIC Account</w:t>
            </w:r>
          </w:p>
        </w:tc>
      </w:tr>
      <w:tr>
        <w:trPr>
          <w:trHeight w:val="360" w:hRule="exact"/>
        </w:trPr>
        <w:tc>
          <w:tcPr>
            <w:tcW w:w="1368" w:type="dxa"/>
            <w:gridSpan w:val="3"/>
            <w:tcBorders/>
          </w:tcPr>
          <w:p>
            <w:pPr>
              <w:pStyle w:val="TableText"/>
              <w:spacing w:before="120" w:after="120"/>
              <w:rPr/>
            </w:pPr>
            <w:r>
              <w:rPr/>
              <w:t>EA-MM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Multiple Metered ELECTRIC Account</w:t>
            </w:r>
          </w:p>
        </w:tc>
      </w:tr>
      <w:tr>
        <w:trPr>
          <w:trHeight w:val="360" w:hRule="exact"/>
        </w:trPr>
        <w:tc>
          <w:tcPr>
            <w:tcW w:w="1368" w:type="dxa"/>
            <w:gridSpan w:val="3"/>
            <w:tcBorders/>
          </w:tcPr>
          <w:p>
            <w:pPr>
              <w:pStyle w:val="TableText"/>
              <w:spacing w:before="120" w:after="120"/>
              <w:rPr/>
            </w:pPr>
            <w:r>
              <w:rPr/>
              <w:t>EA-UM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Unmetered ELECTRIC Account</w:t>
            </w:r>
          </w:p>
        </w:tc>
      </w:tr>
      <w:tr>
        <w:trPr/>
        <w:tc>
          <w:tcPr>
            <w:tcW w:w="9468" w:type="dxa"/>
            <w:gridSpan w:val="7"/>
            <w:tcBorders/>
          </w:tcPr>
          <w:p>
            <w:pPr>
              <w:pStyle w:val="TableTitle"/>
              <w:spacing w:before="240" w:after="240"/>
              <w:rPr>
                <w:u w:val="single"/>
              </w:rPr>
            </w:pPr>
            <w:r>
              <w:rPr>
                <w:u w:val="single"/>
              </w:rPr>
              <w:t>Current Usage Tests</w:t>
            </w:r>
          </w:p>
        </w:tc>
      </w:tr>
      <w:tr>
        <w:trPr>
          <w:trHeight w:val="360" w:hRule="exact"/>
        </w:trPr>
        <w:tc>
          <w:tcPr>
            <w:tcW w:w="1368" w:type="dxa"/>
            <w:gridSpan w:val="3"/>
            <w:tcBorders/>
          </w:tcPr>
          <w:p>
            <w:pPr>
              <w:pStyle w:val="TableText"/>
              <w:spacing w:before="120" w:after="120"/>
              <w:rPr/>
            </w:pPr>
            <w:r>
              <w:rPr/>
              <w:t>ECU-SM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Single Metered ELECTRIC Account</w:t>
            </w:r>
          </w:p>
        </w:tc>
      </w:tr>
      <w:tr>
        <w:trPr>
          <w:trHeight w:val="360" w:hRule="exact"/>
        </w:trPr>
        <w:tc>
          <w:tcPr>
            <w:tcW w:w="1368" w:type="dxa"/>
            <w:gridSpan w:val="3"/>
            <w:tcBorders/>
          </w:tcPr>
          <w:p>
            <w:pPr>
              <w:pStyle w:val="TableText"/>
              <w:spacing w:before="120" w:after="120"/>
              <w:rPr/>
            </w:pPr>
            <w:r>
              <w:rPr/>
              <w:t>ECU-MM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Multiple Metered ELECTRIC Account</w:t>
            </w:r>
          </w:p>
        </w:tc>
      </w:tr>
      <w:tr>
        <w:trPr>
          <w:trHeight w:val="360" w:hRule="exact"/>
        </w:trPr>
        <w:tc>
          <w:tcPr>
            <w:tcW w:w="1368" w:type="dxa"/>
            <w:gridSpan w:val="3"/>
            <w:tcBorders/>
          </w:tcPr>
          <w:p>
            <w:pPr>
              <w:pStyle w:val="TableText"/>
              <w:spacing w:before="120" w:after="120"/>
              <w:rPr/>
            </w:pPr>
            <w:r>
              <w:rPr/>
              <w:t>ECU-UM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Unmetered ELECTRIC Accounts</w:t>
            </w:r>
          </w:p>
        </w:tc>
      </w:tr>
      <w:tr>
        <w:trPr>
          <w:trHeight w:val="360" w:hRule="exact"/>
        </w:trPr>
        <w:tc>
          <w:tcPr>
            <w:tcW w:w="1368" w:type="dxa"/>
            <w:gridSpan w:val="3"/>
            <w:tcBorders/>
          </w:tcPr>
          <w:p>
            <w:pPr>
              <w:pStyle w:val="TableText"/>
              <w:spacing w:before="120" w:after="120"/>
              <w:rPr/>
            </w:pPr>
            <w:r>
              <w:rPr/>
              <w:t>GCU-SM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Single Metered GAS Account</w:t>
            </w:r>
          </w:p>
        </w:tc>
      </w:tr>
      <w:tr>
        <w:trPr>
          <w:trHeight w:val="360" w:hRule="exact"/>
        </w:trPr>
        <w:tc>
          <w:tcPr>
            <w:tcW w:w="1368" w:type="dxa"/>
            <w:gridSpan w:val="3"/>
            <w:tcBorders/>
          </w:tcPr>
          <w:p>
            <w:pPr>
              <w:pStyle w:val="TableText"/>
              <w:spacing w:before="120" w:after="120"/>
              <w:rPr/>
            </w:pPr>
            <w:r>
              <w:rPr/>
              <w:t>GCU-MM</w:t>
            </w:r>
          </w:p>
        </w:tc>
        <w:tc>
          <w:tcPr>
            <w:tcW w:w="630" w:type="dxa"/>
            <w:tcBorders/>
          </w:tcPr>
          <w:p>
            <w:pPr>
              <w:pStyle w:val="TableText"/>
              <w:spacing w:before="120" w:after="120"/>
              <w:rPr/>
            </w:pPr>
            <w:r>
              <w:rPr/>
              <w:t>867</w:t>
            </w:r>
          </w:p>
        </w:tc>
        <w:tc>
          <w:tcPr>
            <w:tcW w:w="7470" w:type="dxa"/>
            <w:gridSpan w:val="3"/>
            <w:tcBorders/>
          </w:tcPr>
          <w:p>
            <w:pPr>
              <w:pStyle w:val="TableText"/>
              <w:spacing w:before="120" w:after="120"/>
              <w:rPr/>
            </w:pPr>
            <w:r>
              <w:rPr/>
              <w:t>Multiple Metered GAS Account</w:t>
            </w:r>
          </w:p>
        </w:tc>
      </w:tr>
      <w:tr>
        <w:trPr>
          <w:trHeight w:val="360" w:hRule="exact"/>
        </w:trPr>
        <w:tc>
          <w:tcPr>
            <w:tcW w:w="1368" w:type="dxa"/>
            <w:gridSpan w:val="3"/>
            <w:tcBorders/>
          </w:tcPr>
          <w:p>
            <w:pPr>
              <w:pStyle w:val="TableText"/>
              <w:spacing w:before="120" w:after="120"/>
              <w:rPr>
                <w:highlight w:val="yellow"/>
              </w:rPr>
            </w:pPr>
            <w:r>
              <w:rPr>
                <w:highlight w:val="yellow"/>
              </w:rPr>
              <w:t>GCU-UM</w:t>
            </w:r>
          </w:p>
        </w:tc>
        <w:tc>
          <w:tcPr>
            <w:tcW w:w="630" w:type="dxa"/>
            <w:tcBorders/>
          </w:tcPr>
          <w:p>
            <w:pPr>
              <w:pStyle w:val="TableText"/>
              <w:spacing w:before="120" w:after="120"/>
              <w:rPr>
                <w:highlight w:val="yellow"/>
              </w:rPr>
            </w:pPr>
            <w:r>
              <w:rPr>
                <w:highlight w:val="yellow"/>
              </w:rPr>
              <w:t>867</w:t>
            </w:r>
          </w:p>
        </w:tc>
        <w:tc>
          <w:tcPr>
            <w:tcW w:w="7470" w:type="dxa"/>
            <w:gridSpan w:val="3"/>
            <w:tcBorders/>
          </w:tcPr>
          <w:p>
            <w:pPr>
              <w:pStyle w:val="TableText"/>
              <w:spacing w:before="120" w:after="120"/>
              <w:rPr>
                <w:highlight w:val="yellow"/>
              </w:rPr>
            </w:pPr>
            <w:r>
              <w:rPr>
                <w:highlight w:val="yellow"/>
              </w:rPr>
              <w:t>Unmetered GAS Accounts</w:t>
            </w:r>
          </w:p>
        </w:tc>
      </w:tr>
      <w:tr>
        <w:trPr/>
        <w:tc>
          <w:tcPr>
            <w:tcW w:w="9468" w:type="dxa"/>
            <w:gridSpan w:val="7"/>
            <w:tcBorders/>
          </w:tcPr>
          <w:p>
            <w:pPr>
              <w:pStyle w:val="TableTitle"/>
              <w:spacing w:before="240" w:after="240"/>
              <w:rPr>
                <w:u w:val="single"/>
              </w:rPr>
            </w:pPr>
            <w:r>
              <w:rPr>
                <w:u w:val="single"/>
              </w:rPr>
              <w:t>Functional Acknowledgment Test</w:t>
            </w:r>
          </w:p>
        </w:tc>
      </w:tr>
      <w:tr>
        <w:trPr>
          <w:trHeight w:val="360" w:hRule="exact"/>
        </w:trPr>
        <w:tc>
          <w:tcPr>
            <w:tcW w:w="1368" w:type="dxa"/>
            <w:gridSpan w:val="3"/>
            <w:tcBorders/>
          </w:tcPr>
          <w:p>
            <w:pPr>
              <w:pStyle w:val="TableText"/>
              <w:spacing w:before="120" w:after="120"/>
              <w:rPr/>
            </w:pPr>
            <w:r>
              <w:rPr/>
              <w:t>FA</w:t>
            </w:r>
          </w:p>
        </w:tc>
        <w:tc>
          <w:tcPr>
            <w:tcW w:w="630" w:type="dxa"/>
            <w:tcBorders/>
          </w:tcPr>
          <w:p>
            <w:pPr>
              <w:pStyle w:val="TableText"/>
              <w:spacing w:before="120" w:after="120"/>
              <w:rPr/>
            </w:pPr>
            <w:r>
              <w:rPr/>
              <w:t>997</w:t>
            </w:r>
          </w:p>
        </w:tc>
        <w:tc>
          <w:tcPr>
            <w:tcW w:w="7470" w:type="dxa"/>
            <w:gridSpan w:val="3"/>
            <w:tcBorders/>
          </w:tcPr>
          <w:p>
            <w:pPr>
              <w:pStyle w:val="TableText"/>
              <w:spacing w:before="120" w:after="120"/>
              <w:rPr/>
            </w:pPr>
            <w:r>
              <w:rPr/>
              <w:t>Functional Acknowledgment</w:t>
            </w:r>
          </w:p>
        </w:tc>
      </w:tr>
    </w:tbl>
    <w:p>
      <w:pPr>
        <w:pStyle w:val="Heading2"/>
        <w:ind w:hanging="0" w:start="0"/>
        <w:rPr/>
      </w:pPr>
      <w:r>
        <w:rPr/>
      </w:r>
      <w:r>
        <w:br w:type="page"/>
      </w:r>
    </w:p>
    <w:p>
      <w:pPr>
        <w:pStyle w:val="Heading3"/>
        <w:ind w:hanging="0" w:start="450" w:end="0"/>
        <w:rPr/>
      </w:pPr>
      <w:bookmarkStart w:id="11" w:name="__RefHeading___Toc504980672"/>
      <w:bookmarkEnd w:id="11"/>
      <w:r>
        <w:rPr/>
        <w:t>C. ESCO/Marketer Tests</w:t>
      </w:r>
    </w:p>
    <w:p>
      <w:pPr>
        <w:pStyle w:val="BodyText1"/>
        <w:ind w:start="450" w:end="0"/>
        <w:rPr/>
      </w:pPr>
      <w:r>
        <w:rPr/>
        <w:t>The Test Moderator will provide sample data to the E/M for purposes of the required scenarios (e.g. sample Utility DUNs numbers, sample customer meter numbers, etc.)</w:t>
      </w:r>
    </w:p>
    <w:tbl>
      <w:tblPr>
        <w:tblW w:w="9486" w:type="dxa"/>
        <w:jc w:val="start"/>
        <w:tblInd w:w="0" w:type="dxa"/>
        <w:tblLayout w:type="fixed"/>
        <w:tblCellMar>
          <w:top w:w="0" w:type="dxa"/>
          <w:start w:w="108" w:type="dxa"/>
          <w:bottom w:w="0" w:type="dxa"/>
          <w:end w:w="108" w:type="dxa"/>
        </w:tblCellMar>
      </w:tblPr>
      <w:tblGrid>
        <w:gridCol w:w="1278"/>
        <w:gridCol w:w="90"/>
        <w:gridCol w:w="630"/>
        <w:gridCol w:w="7470"/>
        <w:gridCol w:w="18"/>
      </w:tblGrid>
      <w:tr>
        <w:trPr>
          <w:tblHeader w:val="true"/>
        </w:trPr>
        <w:tc>
          <w:tcPr>
            <w:tcW w:w="1278" w:type="dxa"/>
            <w:tcBorders>
              <w:top w:val="single" w:sz="4" w:space="0" w:color="000000"/>
              <w:start w:val="single" w:sz="4" w:space="0" w:color="000000"/>
              <w:bottom w:val="single" w:sz="4" w:space="0" w:color="000000"/>
              <w:end w:val="single" w:sz="6" w:space="0" w:color="000000"/>
            </w:tcBorders>
          </w:tcPr>
          <w:p>
            <w:pPr>
              <w:pStyle w:val="TableTitle"/>
              <w:widowControl/>
              <w:bidi w:val="0"/>
              <w:spacing w:before="240" w:after="240"/>
              <w:rPr/>
            </w:pPr>
            <w:r>
              <w:rPr/>
              <w:t>TEST ID</w:t>
            </w:r>
          </w:p>
        </w:tc>
        <w:tc>
          <w:tcPr>
            <w:tcW w:w="720" w:type="dxa"/>
            <w:gridSpan w:val="2"/>
            <w:tcBorders>
              <w:top w:val="single" w:sz="4" w:space="0" w:color="000000"/>
              <w:start w:val="single" w:sz="6" w:space="0" w:color="000000"/>
              <w:bottom w:val="single" w:sz="4" w:space="0" w:color="000000"/>
              <w:end w:val="single" w:sz="6" w:space="0" w:color="000000"/>
            </w:tcBorders>
          </w:tcPr>
          <w:p>
            <w:pPr>
              <w:pStyle w:val="TableTitle"/>
              <w:widowControl/>
              <w:bidi w:val="0"/>
              <w:spacing w:before="240" w:after="240"/>
              <w:rPr/>
            </w:pPr>
            <w:r>
              <w:rPr/>
              <w:t>UNIT</w:t>
            </w:r>
          </w:p>
        </w:tc>
        <w:tc>
          <w:tcPr>
            <w:tcW w:w="7488" w:type="dxa"/>
            <w:tcBorders>
              <w:top w:val="single" w:sz="4" w:space="0" w:color="000000"/>
              <w:start w:val="single" w:sz="6" w:space="0" w:color="000000"/>
              <w:bottom w:val="single" w:sz="4" w:space="0" w:color="000000"/>
              <w:end w:val="single" w:sz="4" w:space="0" w:color="000000"/>
            </w:tcBorders>
          </w:tcPr>
          <w:p>
            <w:pPr>
              <w:pStyle w:val="TableTitle"/>
              <w:widowControl/>
              <w:bidi w:val="0"/>
              <w:spacing w:before="240" w:after="240"/>
              <w:rPr/>
            </w:pPr>
            <w:r>
              <w:rPr/>
              <w:t>TEST NAME</w:t>
            </w:r>
          </w:p>
        </w:tc>
      </w:tr>
      <w:tr>
        <w:trPr/>
        <w:tc>
          <w:tcPr>
            <w:tcW w:w="9468" w:type="dxa"/>
            <w:gridSpan w:val="4"/>
            <w:tcBorders/>
          </w:tcPr>
          <w:p>
            <w:pPr>
              <w:pStyle w:val="TableTitle"/>
              <w:spacing w:before="240" w:after="240"/>
              <w:rPr>
                <w:u w:val="single"/>
              </w:rPr>
            </w:pPr>
            <w:r>
              <w:rPr>
                <w:u w:val="single"/>
              </w:rPr>
              <w:t>Gas Enrollment &amp; Historical Usage Request Tests</w:t>
            </w:r>
          </w:p>
        </w:tc>
      </w:tr>
      <w:tr>
        <w:trPr>
          <w:trHeight w:val="360" w:hRule="exact"/>
        </w:trPr>
        <w:tc>
          <w:tcPr>
            <w:tcW w:w="1278" w:type="dxa"/>
            <w:tcBorders/>
          </w:tcPr>
          <w:p>
            <w:pPr>
              <w:pStyle w:val="TableText"/>
              <w:spacing w:before="120" w:after="120"/>
              <w:rPr/>
            </w:pPr>
            <w:r>
              <w:rPr/>
              <w:t>GE-DB</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i/>
                <w:i/>
              </w:rPr>
            </w:pPr>
            <w:r>
              <w:rPr/>
              <w:t>Gas Enrollment Request – Dual Billing Option</w:t>
            </w:r>
          </w:p>
        </w:tc>
      </w:tr>
      <w:tr>
        <w:trPr>
          <w:trHeight w:val="360" w:hRule="exact"/>
        </w:trPr>
        <w:tc>
          <w:tcPr>
            <w:tcW w:w="1278" w:type="dxa"/>
            <w:tcBorders/>
          </w:tcPr>
          <w:p>
            <w:pPr>
              <w:pStyle w:val="TableText"/>
              <w:spacing w:before="120" w:after="120"/>
              <w:rPr/>
            </w:pPr>
            <w:r>
              <w:rPr/>
              <w:t>GE-UR</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Enrollment Request – Utility Rate Ready Option</w:t>
            </w:r>
          </w:p>
        </w:tc>
      </w:tr>
      <w:tr>
        <w:trPr>
          <w:trHeight w:val="360" w:hRule="exact"/>
        </w:trPr>
        <w:tc>
          <w:tcPr>
            <w:tcW w:w="1278" w:type="dxa"/>
            <w:tcBorders/>
          </w:tcPr>
          <w:p>
            <w:pPr>
              <w:pStyle w:val="TableText"/>
              <w:spacing w:before="120" w:after="120"/>
              <w:rPr/>
            </w:pPr>
            <w:r>
              <w:rPr/>
              <w:t>GE-UB</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Enrollment Request – Utility Bill Ready Option</w:t>
            </w:r>
          </w:p>
        </w:tc>
      </w:tr>
      <w:tr>
        <w:trPr>
          <w:trHeight w:val="360" w:hRule="exact"/>
        </w:trPr>
        <w:tc>
          <w:tcPr>
            <w:tcW w:w="1278" w:type="dxa"/>
            <w:tcBorders/>
          </w:tcPr>
          <w:p>
            <w:pPr>
              <w:pStyle w:val="TableText"/>
              <w:spacing w:before="120" w:after="120"/>
              <w:rPr/>
            </w:pPr>
            <w:r>
              <w:rPr/>
              <w:t>GE-EE</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Enrollment Request – E/M Bill Ready Option</w:t>
            </w:r>
          </w:p>
        </w:tc>
      </w:tr>
      <w:tr>
        <w:trPr>
          <w:trHeight w:val="360" w:hRule="exact"/>
        </w:trPr>
        <w:tc>
          <w:tcPr>
            <w:tcW w:w="1278" w:type="dxa"/>
            <w:tcBorders/>
          </w:tcPr>
          <w:p>
            <w:pPr>
              <w:pStyle w:val="TableText"/>
              <w:spacing w:before="120" w:after="120"/>
              <w:rPr/>
            </w:pPr>
            <w:r>
              <w:rPr/>
              <w:t>GE-AG</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Enrollment Request – Agency Billing Option</w:t>
            </w:r>
          </w:p>
        </w:tc>
      </w:tr>
      <w:tr>
        <w:trPr>
          <w:trHeight w:val="360" w:hRule="exact"/>
        </w:trPr>
        <w:tc>
          <w:tcPr>
            <w:tcW w:w="1278" w:type="dxa"/>
            <w:tcBorders/>
          </w:tcPr>
          <w:p>
            <w:pPr>
              <w:pStyle w:val="TableText"/>
              <w:spacing w:before="120" w:after="120"/>
              <w:rPr/>
            </w:pPr>
            <w:r>
              <w:rPr/>
              <w:t>GE-HR</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Enrollment Request, History Request</w:t>
            </w:r>
          </w:p>
        </w:tc>
      </w:tr>
      <w:tr>
        <w:trPr>
          <w:trHeight w:val="360" w:hRule="exact"/>
        </w:trPr>
        <w:tc>
          <w:tcPr>
            <w:tcW w:w="1278" w:type="dxa"/>
            <w:tcBorders/>
          </w:tcPr>
          <w:p>
            <w:pPr>
              <w:pStyle w:val="TableText"/>
              <w:spacing w:before="120" w:after="120"/>
              <w:rPr/>
            </w:pPr>
            <w:r>
              <w:rPr/>
              <w:t>G-HR</w:t>
            </w:r>
          </w:p>
        </w:tc>
        <w:tc>
          <w:tcPr>
            <w:tcW w:w="720" w:type="dxa"/>
            <w:gridSpan w:val="2"/>
            <w:tcBorders/>
          </w:tcPr>
          <w:p>
            <w:pPr>
              <w:pStyle w:val="TableText"/>
              <w:spacing w:before="120" w:after="120"/>
              <w:rPr/>
            </w:pPr>
            <w:r>
              <w:rPr/>
              <w:t>814</w:t>
            </w:r>
          </w:p>
        </w:tc>
        <w:tc>
          <w:tcPr>
            <w:tcW w:w="7488" w:type="dxa"/>
            <w:tcBorders/>
          </w:tcPr>
          <w:p>
            <w:pPr>
              <w:pStyle w:val="TableText"/>
              <w:spacing w:before="120" w:after="120"/>
              <w:rPr/>
            </w:pPr>
            <w:r>
              <w:rPr/>
              <w:t>Gas Standalone History Request</w:t>
            </w:r>
          </w:p>
        </w:tc>
      </w:tr>
      <w:tr>
        <w:trPr/>
        <w:tc>
          <w:tcPr>
            <w:tcW w:w="9468" w:type="dxa"/>
            <w:gridSpan w:val="4"/>
            <w:tcBorders/>
          </w:tcPr>
          <w:p>
            <w:pPr>
              <w:pStyle w:val="TableTitle"/>
              <w:spacing w:before="240" w:after="240"/>
              <w:rPr>
                <w:u w:val="single"/>
              </w:rPr>
            </w:pPr>
            <w:r>
              <w:rPr>
                <w:u w:val="single"/>
              </w:rPr>
              <w:t>Electric Enrollment &amp; Historical Usage Request Tests</w:t>
            </w:r>
          </w:p>
        </w:tc>
      </w:tr>
      <w:tr>
        <w:trPr>
          <w:trHeight w:val="360" w:hRule="exact"/>
        </w:trPr>
        <w:tc>
          <w:tcPr>
            <w:tcW w:w="1278" w:type="dxa"/>
            <w:tcBorders/>
          </w:tcPr>
          <w:p>
            <w:pPr>
              <w:pStyle w:val="TableText"/>
              <w:spacing w:before="120" w:after="120"/>
              <w:rPr/>
            </w:pPr>
            <w:r>
              <w:rPr/>
              <w:t>EE-DB</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i/>
                <w:i/>
              </w:rPr>
            </w:pPr>
            <w:r>
              <w:rPr/>
              <w:t>Electric Enrollment Request – Dual Billing Option</w:t>
            </w:r>
          </w:p>
        </w:tc>
      </w:tr>
      <w:tr>
        <w:trPr>
          <w:trHeight w:val="360" w:hRule="exact"/>
        </w:trPr>
        <w:tc>
          <w:tcPr>
            <w:tcW w:w="1278" w:type="dxa"/>
            <w:tcBorders/>
          </w:tcPr>
          <w:p>
            <w:pPr>
              <w:pStyle w:val="TableText"/>
              <w:spacing w:before="120" w:after="120"/>
              <w:rPr/>
            </w:pPr>
            <w:r>
              <w:rPr/>
              <w:t>EE-UR</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Enrollment Request – Utility Rate Ready Option</w:t>
            </w:r>
          </w:p>
        </w:tc>
      </w:tr>
      <w:tr>
        <w:trPr>
          <w:trHeight w:val="360" w:hRule="exact"/>
        </w:trPr>
        <w:tc>
          <w:tcPr>
            <w:tcW w:w="1278" w:type="dxa"/>
            <w:tcBorders/>
          </w:tcPr>
          <w:p>
            <w:pPr>
              <w:pStyle w:val="TableText"/>
              <w:spacing w:before="120" w:after="120"/>
              <w:rPr/>
            </w:pPr>
            <w:r>
              <w:rPr/>
              <w:t>EE-UB</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Enrollment Request – Utility Bill Ready Option</w:t>
            </w:r>
          </w:p>
        </w:tc>
      </w:tr>
      <w:tr>
        <w:trPr>
          <w:trHeight w:val="360" w:hRule="exact"/>
        </w:trPr>
        <w:tc>
          <w:tcPr>
            <w:tcW w:w="1278" w:type="dxa"/>
            <w:tcBorders/>
          </w:tcPr>
          <w:p>
            <w:pPr>
              <w:pStyle w:val="TableText"/>
              <w:spacing w:before="120" w:after="120"/>
              <w:rPr/>
            </w:pPr>
            <w:r>
              <w:rPr/>
              <w:t>EE-EE</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Enrollment Request – E/M Bill Ready Option</w:t>
            </w:r>
          </w:p>
        </w:tc>
      </w:tr>
      <w:tr>
        <w:trPr>
          <w:trHeight w:val="360" w:hRule="exact"/>
        </w:trPr>
        <w:tc>
          <w:tcPr>
            <w:tcW w:w="1278" w:type="dxa"/>
            <w:tcBorders/>
          </w:tcPr>
          <w:p>
            <w:pPr>
              <w:pStyle w:val="TableText"/>
              <w:spacing w:before="120" w:after="120"/>
              <w:rPr/>
            </w:pPr>
            <w:r>
              <w:rPr/>
              <w:t>EE-AG</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Enrollment Request – Agency Billing Option</w:t>
            </w:r>
          </w:p>
        </w:tc>
      </w:tr>
      <w:tr>
        <w:trPr>
          <w:trHeight w:val="360" w:hRule="exact"/>
        </w:trPr>
        <w:tc>
          <w:tcPr>
            <w:tcW w:w="1278" w:type="dxa"/>
            <w:tcBorders/>
          </w:tcPr>
          <w:p>
            <w:pPr>
              <w:pStyle w:val="TableText"/>
              <w:spacing w:before="120" w:after="120"/>
              <w:rPr/>
            </w:pPr>
            <w:r>
              <w:rPr/>
              <w:t>EE-HR</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Enrollment Request, History Request</w:t>
            </w:r>
          </w:p>
        </w:tc>
      </w:tr>
      <w:tr>
        <w:trPr>
          <w:trHeight w:val="360" w:hRule="exact"/>
        </w:trPr>
        <w:tc>
          <w:tcPr>
            <w:tcW w:w="1278" w:type="dxa"/>
            <w:tcBorders/>
          </w:tcPr>
          <w:p>
            <w:pPr>
              <w:pStyle w:val="TableText"/>
              <w:spacing w:before="120" w:after="120"/>
              <w:rPr/>
            </w:pPr>
            <w:r>
              <w:rPr/>
              <w:t>E-HR</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Electric Standalone History Request</w:t>
            </w:r>
          </w:p>
        </w:tc>
      </w:tr>
      <w:tr>
        <w:trPr/>
        <w:tc>
          <w:tcPr>
            <w:tcW w:w="9468" w:type="dxa"/>
            <w:gridSpan w:val="4"/>
            <w:tcBorders/>
          </w:tcPr>
          <w:p>
            <w:pPr>
              <w:pStyle w:val="TableTitle"/>
              <w:spacing w:before="240" w:after="240"/>
              <w:rPr>
                <w:u w:val="single"/>
              </w:rPr>
            </w:pPr>
            <w:r>
              <w:rPr>
                <w:u w:val="single"/>
              </w:rPr>
              <w:t>Drop Tests</w:t>
            </w:r>
          </w:p>
        </w:tc>
      </w:tr>
      <w:tr>
        <w:trPr>
          <w:trHeight w:val="360" w:hRule="exact"/>
        </w:trPr>
        <w:tc>
          <w:tcPr>
            <w:tcW w:w="1278" w:type="dxa"/>
            <w:tcBorders/>
          </w:tcPr>
          <w:p>
            <w:pPr>
              <w:pStyle w:val="TableText"/>
              <w:spacing w:before="120" w:after="120"/>
              <w:rPr/>
            </w:pPr>
            <w:r>
              <w:rPr/>
              <w:t>EM-DREQ</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E/M Drop Request</w:t>
            </w:r>
          </w:p>
        </w:tc>
      </w:tr>
      <w:tr>
        <w:trPr>
          <w:trHeight w:val="360" w:hRule="exact"/>
        </w:trPr>
        <w:tc>
          <w:tcPr>
            <w:tcW w:w="1278" w:type="dxa"/>
            <w:tcBorders/>
          </w:tcPr>
          <w:p>
            <w:pPr>
              <w:pStyle w:val="TableText"/>
              <w:spacing w:before="120" w:after="120"/>
              <w:rPr/>
            </w:pPr>
            <w:r>
              <w:rPr/>
              <w:t>EM-DREJ</w:t>
            </w:r>
          </w:p>
        </w:tc>
        <w:tc>
          <w:tcPr>
            <w:tcW w:w="720" w:type="dxa"/>
            <w:gridSpan w:val="2"/>
            <w:tcBorders/>
          </w:tcPr>
          <w:p>
            <w:pPr>
              <w:pStyle w:val="TableText"/>
              <w:spacing w:before="120" w:after="120"/>
              <w:rPr/>
            </w:pPr>
            <w:r>
              <w:rPr/>
              <w:t>814</w:t>
            </w:r>
          </w:p>
        </w:tc>
        <w:tc>
          <w:tcPr>
            <w:tcW w:w="7470" w:type="dxa"/>
            <w:tcBorders/>
          </w:tcPr>
          <w:p>
            <w:pPr>
              <w:pStyle w:val="TableText"/>
              <w:spacing w:before="120" w:after="120"/>
              <w:rPr/>
            </w:pPr>
            <w:r>
              <w:rPr/>
              <w:t>E/M Drop Reject</w:t>
            </w:r>
          </w:p>
        </w:tc>
      </w:tr>
      <w:tr>
        <w:trPr/>
        <w:tc>
          <w:tcPr>
            <w:tcW w:w="9468" w:type="dxa"/>
            <w:gridSpan w:val="4"/>
            <w:tcBorders/>
          </w:tcPr>
          <w:p>
            <w:pPr>
              <w:pStyle w:val="TableTitle"/>
              <w:spacing w:before="240" w:after="240"/>
              <w:rPr>
                <w:u w:val="single"/>
              </w:rPr>
            </w:pPr>
            <w:r>
              <w:rPr>
                <w:u w:val="single"/>
              </w:rPr>
              <w:t>Current &amp; Historical Usage Response Test</w:t>
            </w:r>
          </w:p>
        </w:tc>
      </w:tr>
      <w:tr>
        <w:trPr>
          <w:trHeight w:val="360" w:hRule="exact"/>
        </w:trPr>
        <w:tc>
          <w:tcPr>
            <w:tcW w:w="1368" w:type="dxa"/>
            <w:gridSpan w:val="2"/>
            <w:tcBorders/>
          </w:tcPr>
          <w:p>
            <w:pPr>
              <w:pStyle w:val="TableText"/>
              <w:spacing w:before="120" w:after="120"/>
              <w:rPr/>
            </w:pPr>
            <w:r>
              <w:rPr/>
              <w:t>CUR</w:t>
            </w:r>
          </w:p>
        </w:tc>
        <w:tc>
          <w:tcPr>
            <w:tcW w:w="630" w:type="dxa"/>
            <w:tcBorders/>
          </w:tcPr>
          <w:p>
            <w:pPr>
              <w:pStyle w:val="TableText"/>
              <w:spacing w:before="120" w:after="120"/>
              <w:rPr/>
            </w:pPr>
            <w:r>
              <w:rPr/>
              <w:t>824</w:t>
            </w:r>
          </w:p>
        </w:tc>
        <w:tc>
          <w:tcPr>
            <w:tcW w:w="7470" w:type="dxa"/>
            <w:tcBorders/>
          </w:tcPr>
          <w:p>
            <w:pPr>
              <w:pStyle w:val="TableText"/>
              <w:spacing w:before="120" w:after="120"/>
              <w:rPr/>
            </w:pPr>
            <w:r>
              <w:rPr/>
              <w:t>Application Advice (Current Usage Customer Data Not Understood)</w:t>
            </w:r>
          </w:p>
        </w:tc>
      </w:tr>
      <w:tr>
        <w:trPr>
          <w:trHeight w:val="360" w:hRule="exact"/>
        </w:trPr>
        <w:tc>
          <w:tcPr>
            <w:tcW w:w="1368" w:type="dxa"/>
            <w:gridSpan w:val="2"/>
            <w:tcBorders/>
          </w:tcPr>
          <w:p>
            <w:pPr>
              <w:pStyle w:val="TableText"/>
              <w:spacing w:before="120" w:after="120"/>
              <w:rPr/>
            </w:pPr>
            <w:r>
              <w:rPr/>
              <w:t>HUR</w:t>
            </w:r>
          </w:p>
        </w:tc>
        <w:tc>
          <w:tcPr>
            <w:tcW w:w="630" w:type="dxa"/>
            <w:tcBorders/>
          </w:tcPr>
          <w:p>
            <w:pPr>
              <w:pStyle w:val="TableText"/>
              <w:spacing w:before="120" w:after="120"/>
              <w:rPr/>
            </w:pPr>
            <w:r>
              <w:rPr/>
              <w:t>824</w:t>
            </w:r>
          </w:p>
        </w:tc>
        <w:tc>
          <w:tcPr>
            <w:tcW w:w="7470" w:type="dxa"/>
            <w:tcBorders/>
          </w:tcPr>
          <w:p>
            <w:pPr>
              <w:pStyle w:val="TableText"/>
              <w:spacing w:before="120" w:after="120"/>
              <w:rPr/>
            </w:pPr>
            <w:r>
              <w:rPr/>
              <w:t>Application Advice (Historical Usage Customer Data Not Understood)</w:t>
            </w:r>
          </w:p>
        </w:tc>
      </w:tr>
      <w:tr>
        <w:trPr/>
        <w:tc>
          <w:tcPr>
            <w:tcW w:w="9468" w:type="dxa"/>
            <w:gridSpan w:val="4"/>
            <w:tcBorders/>
          </w:tcPr>
          <w:p>
            <w:pPr>
              <w:pStyle w:val="TableTitle"/>
              <w:spacing w:before="240" w:after="240"/>
              <w:rPr>
                <w:u w:val="single"/>
              </w:rPr>
            </w:pPr>
            <w:r>
              <w:rPr>
                <w:u w:val="single"/>
              </w:rPr>
              <w:t>Functional Acknowledgment Test</w:t>
            </w:r>
          </w:p>
        </w:tc>
      </w:tr>
      <w:tr>
        <w:trPr>
          <w:trHeight w:val="360" w:hRule="exact"/>
        </w:trPr>
        <w:tc>
          <w:tcPr>
            <w:tcW w:w="1368" w:type="dxa"/>
            <w:gridSpan w:val="2"/>
            <w:tcBorders/>
          </w:tcPr>
          <w:p>
            <w:pPr>
              <w:pStyle w:val="TableText"/>
              <w:spacing w:before="120" w:after="120"/>
              <w:rPr/>
            </w:pPr>
            <w:r>
              <w:rPr/>
              <w:t>FA</w:t>
            </w:r>
          </w:p>
        </w:tc>
        <w:tc>
          <w:tcPr>
            <w:tcW w:w="630" w:type="dxa"/>
            <w:tcBorders/>
          </w:tcPr>
          <w:p>
            <w:pPr>
              <w:pStyle w:val="TableText"/>
              <w:spacing w:before="120" w:after="120"/>
              <w:rPr/>
            </w:pPr>
            <w:r>
              <w:rPr/>
              <w:t>997</w:t>
            </w:r>
          </w:p>
        </w:tc>
        <w:tc>
          <w:tcPr>
            <w:tcW w:w="7470" w:type="dxa"/>
            <w:tcBorders/>
          </w:tcPr>
          <w:p>
            <w:pPr>
              <w:pStyle w:val="TableText"/>
              <w:spacing w:before="120" w:after="120"/>
              <w:rPr/>
            </w:pPr>
            <w:r>
              <w:rPr/>
              <w:t>Functional Acknowledgment</w:t>
            </w:r>
          </w:p>
        </w:tc>
      </w:tr>
    </w:tbl>
    <w:p>
      <w:pPr>
        <w:pStyle w:val="Heading2"/>
        <w:ind w:hanging="0" w:start="0"/>
        <w:rPr/>
      </w:pPr>
      <w:r>
        <w:rPr/>
      </w:r>
      <w:r>
        <w:br w:type="page"/>
      </w:r>
    </w:p>
    <w:p>
      <w:pPr>
        <w:pStyle w:val="Heading2"/>
        <w:ind w:hanging="0" w:start="0"/>
        <w:rPr/>
      </w:pPr>
      <w:bookmarkStart w:id="12" w:name="__RefHeading___Toc504980673"/>
      <w:r>
        <w:rPr/>
        <w:t>VI. Phase I - Data Transfer Mechanism Test Specifications</w:t>
      </w:r>
      <w:bookmarkEnd w:id="12"/>
      <w:r>
        <w:rPr/>
        <w:br/>
      </w:r>
    </w:p>
    <w:p>
      <w:pPr>
        <w:pStyle w:val="Heading3"/>
        <w:numPr>
          <w:ilvl w:val="0"/>
          <w:numId w:val="17"/>
        </w:numPr>
        <w:rPr>
          <w:sz w:val="36"/>
        </w:rPr>
      </w:pPr>
      <w:bookmarkStart w:id="13" w:name="__RefHeading___Toc504980674"/>
      <w:bookmarkEnd w:id="13"/>
      <w:r>
        <w:rPr/>
        <w:t>DTM Protocol Specification</w:t>
      </w:r>
    </w:p>
    <w:p>
      <w:pPr>
        <w:pStyle w:val="BodyText2"/>
        <w:rPr/>
      </w:pPr>
      <w:r>
        <w:rPr/>
        <w:t>The Internet Hyper Text Transport Protocol (HTTP) mechanism will be used by all parties engaging in EDI commerce in New York.  Further, the HTTP-based mechanism is based on, and aligned with, the Gas Industry Standards Board’s (GISB) Electronic Data Mechanism (EDM), and the Internet Engineering Task Force’s (IETF) EDIINT AS2 data exchange specification. The choice of this DTM meets the requirements of the Commission’s April 12, 2000 EDI Order, which specified that an interoperable Internet-based protocol be utilized.</w:t>
      </w:r>
    </w:p>
    <w:p>
      <w:pPr>
        <w:pStyle w:val="Header"/>
        <w:tabs>
          <w:tab w:val="clear" w:pos="4320"/>
          <w:tab w:val="clear" w:pos="8640"/>
        </w:tabs>
        <w:rPr>
          <w:sz w:val="24"/>
        </w:rPr>
      </w:pPr>
      <w:r>
        <w:rPr>
          <w:sz w:val="24"/>
        </w:rPr>
      </w:r>
    </w:p>
    <w:p>
      <w:pPr>
        <w:pStyle w:val="BodyText2"/>
        <w:rPr/>
      </w:pPr>
      <w:r>
        <w:rPr/>
        <w:t>The GISB EDM version 1.4 (November 15, 1999) will provide the baseline detail specification (i.e. ‘profile’) defining all attributes required for trouble free, interoperable transport of X12 EDI messages between trading partners.  New York specific attributes are denoted herein, thus defining the New York specific DTM profile.  This profile is designed to achieve interoperability and satisfy the critical success factors defined in the June 30, 1999 Collaborative Report It provides details of the necessary technical specifications (i.e. encryption standards, security standards), best operational practices (i.e. transmission failure retries, timing) and DTM testing guidelines.</w:t>
      </w:r>
      <w:r>
        <w:rPr>
          <w:b/>
          <w:i/>
          <w:color w:val="FF0000"/>
        </w:rPr>
        <w:br/>
      </w:r>
    </w:p>
    <w:p>
      <w:pPr>
        <w:pStyle w:val="BodyText2"/>
        <w:numPr>
          <w:ilvl w:val="0"/>
          <w:numId w:val="38"/>
        </w:numPr>
        <w:rPr/>
      </w:pPr>
      <w:r>
        <w:rPr/>
        <w:t>Internet EDI data exchanges will follow the rules defined in sections of the GISB EDM Version 1.4 standard (outlined in Appendix C) unless explicitly stated in this document.  Some key attributes are:</w:t>
      </w:r>
    </w:p>
    <w:p>
      <w:pPr>
        <w:pStyle w:val="BodyText2"/>
        <w:numPr>
          <w:ilvl w:val="0"/>
          <w:numId w:val="41"/>
        </w:numPr>
        <w:tabs>
          <w:tab w:val="left" w:pos="720" w:leader="none"/>
        </w:tabs>
        <w:ind w:hanging="360" w:start="720" w:end="0"/>
        <w:rPr>
          <w:b/>
        </w:rPr>
      </w:pPr>
      <w:r>
        <w:rPr/>
        <w:t>Data exchanges will be timestamp anchored on Eastern Prevailing Time (EST, utilizing Daylight Savings Time).  All New York utilities operate in EST and neighboring jurisdictions are using EST, thereby providing compelling justification for this practice.</w:t>
      </w:r>
      <w:r>
        <w:rPr>
          <w:rStyle w:val="FootnoteCharacters"/>
          <w:rStyle w:val="FootnoteReference"/>
        </w:rPr>
        <w:footnoteReference w:id="9"/>
      </w:r>
      <w:r>
        <w:rPr/>
        <w:br/>
      </w:r>
    </w:p>
    <w:p>
      <w:pPr>
        <w:pStyle w:val="Normal"/>
        <w:numPr>
          <w:ilvl w:val="0"/>
          <w:numId w:val="41"/>
        </w:numPr>
        <w:tabs>
          <w:tab w:val="left" w:pos="720" w:leader="none"/>
        </w:tabs>
        <w:ind w:hanging="360" w:start="720" w:end="0"/>
        <w:rPr>
          <w:sz w:val="24"/>
        </w:rPr>
      </w:pPr>
      <w:r>
        <w:rPr>
          <w:sz w:val="24"/>
        </w:rPr>
        <w:t>Encryption depends on the PGP versions used by each trading partner being compatible.   The recommendation is to use the most current PGP version, however both parties do not require the same version, as newer versions provide backward-compatibility.  Parties should confer and document PGP versions being used in the trading partner agreement.</w:t>
        <w:br/>
        <w:t xml:space="preserve">  </w:t>
      </w:r>
    </w:p>
    <w:p>
      <w:pPr>
        <w:pStyle w:val="Normal"/>
        <w:numPr>
          <w:ilvl w:val="0"/>
          <w:numId w:val="41"/>
        </w:numPr>
        <w:tabs>
          <w:tab w:val="left" w:pos="720" w:leader="none"/>
        </w:tabs>
        <w:ind w:hanging="360" w:start="720" w:end="0"/>
        <w:rPr>
          <w:sz w:val="24"/>
        </w:rPr>
      </w:pPr>
      <w:r>
        <w:rPr>
          <w:sz w:val="24"/>
        </w:rPr>
        <w:t xml:space="preserve">Use of the RSA algorithm is required </w:t>
        <w:br/>
      </w:r>
    </w:p>
    <w:p>
      <w:pPr>
        <w:pStyle w:val="BodyTextBullet"/>
        <w:numPr>
          <w:ilvl w:val="0"/>
          <w:numId w:val="14"/>
        </w:numPr>
        <w:spacing w:before="0" w:after="0"/>
        <w:ind w:hanging="360" w:start="720" w:end="0"/>
        <w:rPr>
          <w:color w:val="FF0000"/>
        </w:rPr>
      </w:pPr>
      <w:r>
        <w:rPr/>
        <w:t xml:space="preserve">Use of 1024-bit public key is recommended     </w:t>
        <w:br/>
      </w:r>
    </w:p>
    <w:p>
      <w:pPr>
        <w:pStyle w:val="Normal"/>
        <w:numPr>
          <w:ilvl w:val="0"/>
          <w:numId w:val="41"/>
        </w:numPr>
        <w:tabs>
          <w:tab w:val="left" w:pos="720" w:leader="none"/>
        </w:tabs>
        <w:ind w:hanging="360" w:start="720" w:end="0"/>
        <w:rPr>
          <w:strike/>
          <w:sz w:val="24"/>
        </w:rPr>
      </w:pPr>
      <w:r>
        <w:rPr>
          <w:color w:val="000000"/>
          <w:sz w:val="24"/>
        </w:rPr>
        <w:t>Archiving – C</w:t>
      </w:r>
      <w:r>
        <w:rPr>
          <w:sz w:val="24"/>
        </w:rPr>
        <w:t xml:space="preserve">ompanies must meet all archival and auditing conditions including financial record keeping requirements, PSC requirements, and any other jurisdictional or internal company requirements.  This requirement may exceed the 2-year archival standard in GISB EDM version 1.4.  The following points should be considered in a companies archiving plan: archive the data file as received at the GISB server; archive the associated PGP public key used to decrypt the data file; and optionally archive the EDI transaction map used to ‘de-map’ the data file. </w:t>
        <w:br/>
      </w:r>
    </w:p>
    <w:p>
      <w:pPr>
        <w:pStyle w:val="Normal"/>
        <w:numPr>
          <w:ilvl w:val="0"/>
          <w:numId w:val="38"/>
        </w:numPr>
        <w:rPr>
          <w:sz w:val="24"/>
        </w:rPr>
      </w:pPr>
      <w:r>
        <w:rPr>
          <w:sz w:val="24"/>
        </w:rPr>
        <w:t>Utilities and E/Ms are encouraged, although not required, to provide redundant capabilities for the ‘last mile’ of Internet connectivity to ensure a higher level of operability for their trading partners (i.e. backup web servers, alternate pathway(s) from the servers to the Internet via a second ISP connection, etc.).</w:t>
        <w:br/>
        <w:t xml:space="preserve"> </w:t>
      </w:r>
    </w:p>
    <w:p>
      <w:pPr>
        <w:pStyle w:val="Normal"/>
        <w:numPr>
          <w:ilvl w:val="0"/>
          <w:numId w:val="38"/>
        </w:numPr>
        <w:rPr>
          <w:sz w:val="24"/>
        </w:rPr>
      </w:pPr>
      <w:r>
        <w:rPr>
          <w:sz w:val="24"/>
        </w:rPr>
        <w:t>Each party should maintain one production URL and one test URL, at a minimum, to clearly separate production-destined transactions from test-destined transactions.</w:t>
        <w:br/>
      </w:r>
    </w:p>
    <w:p>
      <w:pPr>
        <w:pStyle w:val="Normal"/>
        <w:numPr>
          <w:ilvl w:val="0"/>
          <w:numId w:val="38"/>
        </w:numPr>
        <w:rPr>
          <w:sz w:val="24"/>
        </w:rPr>
      </w:pPr>
      <w:r>
        <w:rPr>
          <w:sz w:val="24"/>
        </w:rPr>
        <w:t>Public keys should be changed annually.  Notice should be given to a trading partner when changing keys.  It is recommended that regularly scheduled non-emergency public key changes should include a 30-day notice.</w:t>
        <w:br/>
        <w:t xml:space="preserve">  </w:t>
      </w:r>
    </w:p>
    <w:p>
      <w:pPr>
        <w:pStyle w:val="Normal"/>
        <w:numPr>
          <w:ilvl w:val="0"/>
          <w:numId w:val="38"/>
        </w:numPr>
        <w:rPr>
          <w:sz w:val="24"/>
        </w:rPr>
      </w:pPr>
      <w:r>
        <w:rPr>
          <w:sz w:val="24"/>
        </w:rPr>
        <w:t>Utilities have agreed to communicate web server maintenance schedules to their trading partners.  This will be done via posting to the utilities’ scheduled web site interruptions section of their retail access web page</w:t>
      </w:r>
      <w:r>
        <w:rPr>
          <w:rStyle w:val="FootnoteCharacters"/>
          <w:rStyle w:val="FootnoteReference"/>
          <w:sz w:val="24"/>
        </w:rPr>
        <w:footnoteReference w:id="10"/>
      </w:r>
      <w:r>
        <w:rPr>
          <w:sz w:val="24"/>
        </w:rPr>
        <w:t>.  At their option, utilities may additionally email server maintenance schedules to their trading partners.  E/Ms may also post on their web page, or email, any scheduled server maintenance schedules to their trading partners.</w:t>
        <w:br/>
      </w:r>
    </w:p>
    <w:p>
      <w:pPr>
        <w:pStyle w:val="BodyText2"/>
        <w:ind w:start="720" w:end="0"/>
        <w:rPr>
          <w:rFonts w:ascii="Arial" w:hAnsi="Arial" w:cs="Arial"/>
          <w:b/>
          <w:i/>
          <w:i/>
          <w:sz w:val="20"/>
        </w:rPr>
      </w:pPr>
      <w:r>
        <w:rPr>
          <w:rFonts w:cs="Arial" w:ascii="Arial" w:hAnsi="Arial"/>
          <w:b/>
          <w:i/>
          <w:sz w:val="20"/>
        </w:rPr>
      </w:r>
    </w:p>
    <w:p>
      <w:pPr>
        <w:pStyle w:val="Normal"/>
        <w:rPr>
          <w:b/>
          <w:sz w:val="24"/>
        </w:rPr>
      </w:pPr>
      <w:r>
        <w:rPr>
          <w:b/>
          <w:sz w:val="24"/>
        </w:rPr>
        <w:t>Summary of Failures and Fail-over Standards</w:t>
        <w:br/>
      </w:r>
    </w:p>
    <w:p>
      <w:pPr>
        <w:pStyle w:val="Normal"/>
        <w:numPr>
          <w:ilvl w:val="0"/>
          <w:numId w:val="35"/>
        </w:numPr>
        <w:rPr>
          <w:sz w:val="24"/>
        </w:rPr>
      </w:pPr>
      <w:r>
        <w:rPr>
          <w:sz w:val="24"/>
        </w:rPr>
        <w:t xml:space="preserve">A </w:t>
      </w:r>
      <w:r>
        <w:rPr>
          <w:b/>
          <w:sz w:val="24"/>
        </w:rPr>
        <w:t>protocol failure</w:t>
      </w:r>
      <w:r>
        <w:rPr>
          <w:sz w:val="24"/>
        </w:rPr>
        <w:t xml:space="preserve"> occurs any time a sending party’s web server cannot connect to the receiving party’s web server.  For example, if a server fails to connect, or tries to post a file and fails, this is a protocol failure.</w:t>
        <w:br/>
      </w:r>
    </w:p>
    <w:p>
      <w:pPr>
        <w:pStyle w:val="Normal"/>
        <w:numPr>
          <w:ilvl w:val="0"/>
          <w:numId w:val="35"/>
        </w:numPr>
        <w:rPr>
          <w:sz w:val="24"/>
        </w:rPr>
      </w:pPr>
      <w:r>
        <w:rPr>
          <w:sz w:val="24"/>
        </w:rPr>
        <w:t xml:space="preserve">An </w:t>
      </w:r>
      <w:r>
        <w:rPr>
          <w:b/>
          <w:sz w:val="24"/>
        </w:rPr>
        <w:t xml:space="preserve">exchange failure </w:t>
      </w:r>
      <w:r>
        <w:rPr>
          <w:sz w:val="24"/>
        </w:rPr>
        <w:t xml:space="preserve">is when a sending party’s server has had continual protocol failures over a two-hour period.  Each party is required to try at least 3 times over the two-hour period before flagging an exchange failure.  </w:t>
        <w:br/>
      </w:r>
    </w:p>
    <w:p>
      <w:pPr>
        <w:pStyle w:val="List"/>
        <w:numPr>
          <w:ilvl w:val="0"/>
          <w:numId w:val="35"/>
        </w:numPr>
        <w:spacing w:before="0" w:after="0"/>
        <w:rPr>
          <w:rFonts w:ascii="Times New Roman" w:hAnsi="Times New Roman" w:cs="Times New Roman"/>
        </w:rPr>
      </w:pPr>
      <w:r>
        <w:rPr>
          <w:rFonts w:cs="Times New Roman" w:ascii="Times New Roman" w:hAnsi="Times New Roman"/>
        </w:rPr>
        <w:t>Email will be used to notify partners of protocol and exchange failures.  The email should be initiated as close to the time of failure as reasonably possible (i.e. within 5 minutes).  This will assist in rectifying and documenting problems.</w:t>
        <w:br/>
      </w:r>
    </w:p>
    <w:p>
      <w:pPr>
        <w:pStyle w:val="Normal"/>
        <w:numPr>
          <w:ilvl w:val="0"/>
          <w:numId w:val="35"/>
        </w:numPr>
        <w:rPr>
          <w:sz w:val="24"/>
        </w:rPr>
      </w:pPr>
      <w:r>
        <w:rPr>
          <w:sz w:val="24"/>
        </w:rPr>
        <w:t>When a protocol failure occurs, it is recommended that the sending party wait 60 minutes, then retry the transfer.  If a second protocol failure occurs, the sending party should wait another 60 minutes, then retry the transfer.  For example, the first protocol failure happens at 1:00am, the second happens at 2:00am, and the third happens at 3:00am.</w:t>
        <w:br/>
      </w:r>
    </w:p>
    <w:p>
      <w:pPr>
        <w:pStyle w:val="List"/>
        <w:numPr>
          <w:ilvl w:val="0"/>
          <w:numId w:val="35"/>
        </w:numPr>
        <w:spacing w:before="0" w:after="0"/>
        <w:rPr>
          <w:rFonts w:ascii="Times New Roman" w:hAnsi="Times New Roman" w:cs="Times New Roman"/>
          <w:b/>
          <w:u w:val="single"/>
        </w:rPr>
      </w:pPr>
      <w:r>
        <w:rPr>
          <w:rFonts w:cs="Times New Roman" w:ascii="Times New Roman" w:hAnsi="Times New Roman"/>
        </w:rPr>
        <w:t>Automatic failover systems are not required by this plan. If a trading partner’s Internet EDI solution is not functioning for 5 consecutive business days, an alternative secure electronic medium will be utilized.  This could be the equivalent of posting unencrypted EDI data to a diskette, tape, or CD-ROM and having that medium overnight delivered to the recipient trading partner.  The specifics of the alternate mechanism will be defined in the trading partner agreement.</w:t>
        <w:br/>
      </w:r>
    </w:p>
    <w:p>
      <w:pPr>
        <w:pStyle w:val="Normal"/>
        <w:rPr>
          <w:rFonts w:ascii="Times New Roman" w:hAnsi="Times New Roman" w:cs="Times New Roman"/>
          <w:b/>
          <w:sz w:val="24"/>
          <w:u w:val="single"/>
        </w:rPr>
      </w:pPr>
      <w:r>
        <w:rPr>
          <w:rFonts w:cs="Times New Roman"/>
          <w:b/>
          <w:sz w:val="24"/>
          <w:u w:val="single"/>
        </w:rPr>
      </w:r>
    </w:p>
    <w:p>
      <w:pPr>
        <w:pStyle w:val="Normal"/>
        <w:rPr>
          <w:b/>
          <w:sz w:val="24"/>
          <w:u w:val="single"/>
        </w:rPr>
      </w:pPr>
      <w:r>
        <w:rPr>
          <w:b/>
          <w:sz w:val="24"/>
          <w:u w:val="single"/>
        </w:rPr>
        <w:t>Example of failure</w:t>
      </w:r>
    </w:p>
    <w:p>
      <w:pPr>
        <w:pStyle w:val="Normal"/>
        <w:rPr>
          <w:sz w:val="24"/>
        </w:rPr>
      </w:pPr>
      <w:r>
        <w:rPr>
          <w:sz w:val="24"/>
        </w:rPr>
        <w:t>For example:</w:t>
      </w:r>
    </w:p>
    <w:p>
      <w:pPr>
        <w:pStyle w:val="Normal"/>
        <w:numPr>
          <w:ilvl w:val="0"/>
          <w:numId w:val="50"/>
        </w:numPr>
        <w:tabs>
          <w:tab w:val="left" w:pos="720" w:leader="none"/>
        </w:tabs>
        <w:ind w:hanging="360" w:start="720" w:end="1800"/>
        <w:rPr>
          <w:sz w:val="24"/>
        </w:rPr>
      </w:pPr>
      <w:r>
        <w:rPr>
          <w:sz w:val="24"/>
        </w:rPr>
        <w:t xml:space="preserve">At 1AM Trading Partner X’s (TP-X) web server tries to post a file to Trading Partner Z’s (TP-Z) web server, which is down.  </w:t>
      </w:r>
    </w:p>
    <w:p>
      <w:pPr>
        <w:pStyle w:val="Normal"/>
        <w:numPr>
          <w:ilvl w:val="0"/>
          <w:numId w:val="50"/>
        </w:numPr>
        <w:tabs>
          <w:tab w:val="left" w:pos="720" w:leader="none"/>
        </w:tabs>
        <w:ind w:hanging="360" w:start="720" w:end="1800"/>
        <w:rPr>
          <w:sz w:val="24"/>
        </w:rPr>
      </w:pPr>
      <w:r>
        <w:rPr>
          <w:sz w:val="24"/>
        </w:rPr>
        <w:t xml:space="preserve">TP-X notes a </w:t>
      </w:r>
      <w:r>
        <w:rPr>
          <w:sz w:val="24"/>
          <w:u w:val="single"/>
        </w:rPr>
        <w:t>Protocol failure</w:t>
      </w:r>
      <w:r>
        <w:rPr>
          <w:sz w:val="24"/>
        </w:rPr>
        <w:t xml:space="preserve"> at 1AM and sends email to TP-Z.  </w:t>
      </w:r>
    </w:p>
    <w:p>
      <w:pPr>
        <w:pStyle w:val="Normal"/>
        <w:numPr>
          <w:ilvl w:val="0"/>
          <w:numId w:val="50"/>
        </w:numPr>
        <w:tabs>
          <w:tab w:val="left" w:pos="720" w:leader="none"/>
        </w:tabs>
        <w:ind w:hanging="360" w:start="720" w:end="1800"/>
        <w:rPr>
          <w:sz w:val="24"/>
        </w:rPr>
      </w:pPr>
      <w:r>
        <w:rPr>
          <w:sz w:val="24"/>
        </w:rPr>
        <w:t xml:space="preserve">TP-X waits 60 minutes and tries again.  </w:t>
      </w:r>
    </w:p>
    <w:p>
      <w:pPr>
        <w:pStyle w:val="Normal"/>
        <w:numPr>
          <w:ilvl w:val="0"/>
          <w:numId w:val="50"/>
        </w:numPr>
        <w:tabs>
          <w:tab w:val="left" w:pos="720" w:leader="none"/>
        </w:tabs>
        <w:ind w:hanging="360" w:start="720" w:end="1800"/>
        <w:rPr>
          <w:sz w:val="24"/>
        </w:rPr>
      </w:pPr>
      <w:r>
        <w:rPr>
          <w:sz w:val="24"/>
        </w:rPr>
        <w:t xml:space="preserve">If TP-Z’s server is still down, TP-X notes another </w:t>
      </w:r>
      <w:r>
        <w:rPr>
          <w:sz w:val="24"/>
          <w:u w:val="single"/>
        </w:rPr>
        <w:t xml:space="preserve">Protocol failure </w:t>
      </w:r>
      <w:r>
        <w:rPr>
          <w:sz w:val="24"/>
        </w:rPr>
        <w:t xml:space="preserve">and sends email to TP-Z.  </w:t>
      </w:r>
    </w:p>
    <w:p>
      <w:pPr>
        <w:pStyle w:val="Normal"/>
        <w:numPr>
          <w:ilvl w:val="0"/>
          <w:numId w:val="50"/>
        </w:numPr>
        <w:tabs>
          <w:tab w:val="left" w:pos="720" w:leader="none"/>
        </w:tabs>
        <w:ind w:hanging="360" w:start="720" w:end="1800"/>
        <w:rPr>
          <w:sz w:val="24"/>
        </w:rPr>
      </w:pPr>
      <w:r>
        <w:rPr>
          <w:sz w:val="24"/>
        </w:rPr>
        <w:t xml:space="preserve">TP-X waits another 60 minutes.  </w:t>
      </w:r>
    </w:p>
    <w:p>
      <w:pPr>
        <w:pStyle w:val="BodyTextBullet"/>
        <w:numPr>
          <w:ilvl w:val="0"/>
          <w:numId w:val="50"/>
        </w:numPr>
        <w:spacing w:before="0" w:after="0"/>
        <w:ind w:hanging="360" w:start="720" w:end="1800"/>
        <w:rPr/>
      </w:pPr>
      <w:r>
        <w:rPr/>
        <w:t xml:space="preserve">If TP-X still cannot connect ( 3rd attempt over a consecutive two hour period), </w:t>
      </w:r>
    </w:p>
    <w:p>
      <w:pPr>
        <w:pStyle w:val="Normal"/>
        <w:numPr>
          <w:ilvl w:val="0"/>
          <w:numId w:val="50"/>
        </w:numPr>
        <w:tabs>
          <w:tab w:val="left" w:pos="720" w:leader="none"/>
        </w:tabs>
        <w:ind w:hanging="360" w:start="720" w:end="1800"/>
        <w:rPr>
          <w:sz w:val="24"/>
        </w:rPr>
      </w:pPr>
      <w:r>
        <w:rPr>
          <w:sz w:val="24"/>
        </w:rPr>
        <w:t xml:space="preserve">TP-X notes an </w:t>
      </w:r>
      <w:r>
        <w:rPr>
          <w:sz w:val="24"/>
          <w:u w:val="single"/>
        </w:rPr>
        <w:t>Exchange failure</w:t>
      </w:r>
      <w:r>
        <w:rPr>
          <w:sz w:val="24"/>
        </w:rPr>
        <w:t xml:space="preserve"> and sends email to TP-Z.</w:t>
      </w:r>
    </w:p>
    <w:p>
      <w:pPr>
        <w:pStyle w:val="Normal"/>
        <w:ind w:firstLine="360" w:start="720" w:end="0"/>
        <w:rPr>
          <w:sz w:val="24"/>
        </w:rPr>
      </w:pPr>
      <w:r>
        <w:rPr>
          <w:sz w:val="24"/>
        </w:rPr>
      </w:r>
    </w:p>
    <w:p>
      <w:pPr>
        <w:pStyle w:val="Normal"/>
        <w:rPr>
          <w:sz w:val="24"/>
        </w:rPr>
      </w:pPr>
      <w:r>
        <w:rPr>
          <w:sz w:val="24"/>
        </w:rPr>
        <w:t>As soon as TP-X notes a Protocol failure, TP-X sends a Protocol Failure email to TP-Z’s specified DTM technical contact.  This gives TP-Z a notification that there is a problem and offers some insight that can be used to troubleshoot and fix the problem prior to an Exchange failure.</w:t>
      </w:r>
    </w:p>
    <w:p>
      <w:pPr>
        <w:pStyle w:val="Normal"/>
        <w:rPr>
          <w:sz w:val="24"/>
        </w:rPr>
      </w:pPr>
      <w:r>
        <w:rPr>
          <w:sz w:val="24"/>
        </w:rPr>
      </w:r>
    </w:p>
    <w:p>
      <w:pPr>
        <w:pStyle w:val="Normal"/>
        <w:rPr>
          <w:sz w:val="24"/>
        </w:rPr>
      </w:pPr>
      <w:r>
        <w:rPr>
          <w:sz w:val="24"/>
        </w:rPr>
        <w:t>As soon as TP-X notes an Exchange failure, TP-X sends an Exchange Failure email to TP-Z’s specified DTM technical contact.  This gives TP-Z notification that there is a problem, and manual or automated processes required to rectify the problem can be initiated.</w:t>
      </w:r>
    </w:p>
    <w:p>
      <w:pPr>
        <w:pStyle w:val="BodyText2"/>
        <w:rPr>
          <w:sz w:val="24"/>
        </w:rPr>
      </w:pPr>
      <w:r>
        <w:rPr>
          <w:sz w:val="24"/>
        </w:rPr>
      </w:r>
    </w:p>
    <w:p>
      <w:pPr>
        <w:pStyle w:val="BodyText2"/>
        <w:rPr/>
      </w:pPr>
      <w:r>
        <w:rPr/>
      </w:r>
    </w:p>
    <w:p>
      <w:pPr>
        <w:pStyle w:val="BodyText2"/>
        <w:rPr/>
      </w:pPr>
      <w:r>
        <w:rPr/>
      </w:r>
    </w:p>
    <w:p>
      <w:pPr>
        <w:pStyle w:val="Heading3"/>
        <w:ind w:hanging="0" w:start="0"/>
        <w:rPr/>
      </w:pPr>
      <w:bookmarkStart w:id="14" w:name="__RefHeading___Toc504980675"/>
      <w:bookmarkEnd w:id="14"/>
      <w:r>
        <w:rPr/>
        <w:t>B. DTM Testing Guidelines</w:t>
      </w:r>
    </w:p>
    <w:p>
      <w:pPr>
        <w:pStyle w:val="Normal"/>
        <w:rPr>
          <w:sz w:val="24"/>
        </w:rPr>
      </w:pPr>
      <w:r>
        <w:rPr>
          <w:sz w:val="24"/>
        </w:rPr>
      </w:r>
    </w:p>
    <w:p>
      <w:pPr>
        <w:pStyle w:val="BodyText2"/>
        <w:rPr/>
      </w:pPr>
      <w:r>
        <w:rPr/>
        <w:t xml:space="preserve">The purpose and scope of DTM Testing is to test and verify that data is transmitted from point to point via the prescribed data transfer standards.  It is a test of the technical infrastructure and not a test of the business processing or the EDI X12 syntactical formatting.  </w:t>
      </w:r>
    </w:p>
    <w:p>
      <w:pPr>
        <w:pStyle w:val="Normal"/>
        <w:rPr>
          <w:sz w:val="24"/>
        </w:rPr>
      </w:pPr>
      <w:r>
        <w:rPr>
          <w:sz w:val="24"/>
        </w:rPr>
      </w:r>
    </w:p>
    <w:p>
      <w:pPr>
        <w:pStyle w:val="Normal"/>
        <w:rPr>
          <w:sz w:val="24"/>
        </w:rPr>
      </w:pPr>
      <w:r>
        <w:rPr>
          <w:sz w:val="24"/>
        </w:rPr>
        <w:t>Parties to the test will substantiate that they have received data as intended by the sending party and visa versa.  Testing will address:</w:t>
      </w:r>
    </w:p>
    <w:p>
      <w:pPr>
        <w:pStyle w:val="BodyTextBullet"/>
        <w:numPr>
          <w:ilvl w:val="0"/>
          <w:numId w:val="21"/>
        </w:numPr>
        <w:spacing w:before="0" w:after="0"/>
        <w:ind w:hanging="360" w:start="720" w:end="0"/>
        <w:rPr/>
      </w:pPr>
      <w:r>
        <w:rPr/>
        <w:t>typical operational problems</w:t>
      </w:r>
    </w:p>
    <w:p>
      <w:pPr>
        <w:pStyle w:val="Normal"/>
        <w:numPr>
          <w:ilvl w:val="0"/>
          <w:numId w:val="21"/>
        </w:numPr>
        <w:tabs>
          <w:tab w:val="left" w:pos="720" w:leader="none"/>
          <w:tab w:val="left" w:pos="1440" w:leader="none"/>
        </w:tabs>
        <w:ind w:hanging="360" w:start="720" w:end="0"/>
        <w:rPr>
          <w:sz w:val="24"/>
        </w:rPr>
      </w:pPr>
      <w:r>
        <w:rPr>
          <w:sz w:val="24"/>
        </w:rPr>
        <w:t>trading partner’s server does not respond</w:t>
      </w:r>
    </w:p>
    <w:p>
      <w:pPr>
        <w:pStyle w:val="Normal"/>
        <w:numPr>
          <w:ilvl w:val="0"/>
          <w:numId w:val="21"/>
        </w:numPr>
        <w:tabs>
          <w:tab w:val="left" w:pos="720" w:leader="none"/>
          <w:tab w:val="left" w:pos="1440" w:leader="none"/>
        </w:tabs>
        <w:ind w:hanging="360" w:start="720" w:end="0"/>
        <w:rPr>
          <w:sz w:val="24"/>
        </w:rPr>
      </w:pPr>
      <w:r>
        <w:rPr>
          <w:sz w:val="24"/>
        </w:rPr>
        <w:t>retries of transmissions via a prescribed time interval (wait) and number of times</w:t>
      </w:r>
    </w:p>
    <w:p>
      <w:pPr>
        <w:pStyle w:val="Normal"/>
        <w:numPr>
          <w:ilvl w:val="0"/>
          <w:numId w:val="21"/>
        </w:numPr>
        <w:tabs>
          <w:tab w:val="left" w:pos="720" w:leader="none"/>
          <w:tab w:val="left" w:pos="1440" w:leader="none"/>
        </w:tabs>
        <w:ind w:hanging="360" w:start="720" w:end="0"/>
        <w:rPr/>
      </w:pPr>
      <w:r>
        <w:rPr>
          <w:sz w:val="24"/>
        </w:rPr>
        <w:t>encrypted file can not be interpreted (parties not using proper PGP public keys)</w:t>
      </w:r>
    </w:p>
    <w:p>
      <w:pPr>
        <w:pStyle w:val="List"/>
        <w:numPr>
          <w:ilvl w:val="0"/>
          <w:numId w:val="21"/>
        </w:numPr>
        <w:tabs>
          <w:tab w:val="left" w:pos="720" w:leader="none"/>
          <w:tab w:val="left" w:pos="1440" w:leader="none"/>
        </w:tabs>
        <w:spacing w:before="0" w:after="0"/>
        <w:ind w:hanging="360" w:start="720" w:end="0"/>
        <w:rPr>
          <w:rFonts w:ascii="Times New Roman" w:hAnsi="Times New Roman" w:cs="Times New Roman"/>
        </w:rPr>
      </w:pPr>
      <w:r>
        <w:rPr>
          <w:rFonts w:cs="Times New Roman" w:ascii="Times New Roman" w:hAnsi="Times New Roman"/>
        </w:rPr>
        <w:t>varying payload sizes  (i.e. large files as well as small)</w:t>
      </w:r>
    </w:p>
    <w:p>
      <w:pPr>
        <w:pStyle w:val="Normal"/>
        <w:rPr>
          <w:rFonts w:ascii="Times New Roman" w:hAnsi="Times New Roman" w:cs="Times New Roman"/>
        </w:rPr>
      </w:pPr>
      <w:r>
        <w:rPr>
          <w:rFonts w:cs="Times New Roman"/>
        </w:rPr>
      </w:r>
    </w:p>
    <w:p>
      <w:pPr>
        <w:pStyle w:val="Normal"/>
        <w:rPr>
          <w:b/>
          <w:sz w:val="28"/>
        </w:rPr>
      </w:pPr>
      <w:r>
        <w:rPr>
          <w:b/>
          <w:sz w:val="28"/>
        </w:rPr>
      </w:r>
    </w:p>
    <w:p>
      <w:pPr>
        <w:pStyle w:val="Normal"/>
        <w:rPr>
          <w:b/>
          <w:sz w:val="28"/>
        </w:rPr>
      </w:pPr>
      <w:r>
        <w:rPr>
          <w:b/>
          <w:sz w:val="28"/>
        </w:rPr>
      </w:r>
    </w:p>
    <w:p>
      <w:pPr>
        <w:pStyle w:val="Normal"/>
        <w:rPr>
          <w:b/>
          <w:sz w:val="28"/>
        </w:rPr>
      </w:pPr>
      <w:r>
        <w:rPr>
          <w:b/>
          <w:sz w:val="28"/>
        </w:rPr>
        <w:t>Testing Assumptions</w:t>
        <w:br/>
      </w:r>
    </w:p>
    <w:p>
      <w:pPr>
        <w:pStyle w:val="List"/>
        <w:numPr>
          <w:ilvl w:val="0"/>
          <w:numId w:val="7"/>
        </w:numPr>
        <w:spacing w:before="0" w:after="0"/>
        <w:rPr>
          <w:rFonts w:ascii="Times New Roman" w:hAnsi="Times New Roman" w:cs="Times New Roman"/>
          <w:strike/>
        </w:rPr>
      </w:pPr>
      <w:r>
        <w:rPr>
          <w:rFonts w:cs="Times New Roman" w:ascii="Times New Roman" w:hAnsi="Times New Roman"/>
        </w:rPr>
        <w:t xml:space="preserve">All companies are required to demonstrate DTM communications capability prior to entering Phase II or III Testing. </w:t>
        <w:br/>
      </w:r>
    </w:p>
    <w:p>
      <w:pPr>
        <w:pStyle w:val="List"/>
        <w:numPr>
          <w:ilvl w:val="0"/>
          <w:numId w:val="7"/>
        </w:numPr>
        <w:spacing w:before="0" w:after="0"/>
        <w:rPr>
          <w:rFonts w:ascii="Times New Roman" w:hAnsi="Times New Roman" w:cs="Times New Roman"/>
          <w:strike/>
        </w:rPr>
      </w:pPr>
      <w:r>
        <w:rPr>
          <w:rFonts w:cs="Times New Roman" w:ascii="Times New Roman" w:hAnsi="Times New Roman"/>
        </w:rPr>
        <w:t>DTM testing will be performed with several size outbound data files per trading partner.   Data file size is to be measured in characters prior to encryption and compression (by PGP) and should range from 1Mb (small) to 50Mb (large).</w:t>
        <w:br/>
      </w:r>
    </w:p>
    <w:p>
      <w:pPr>
        <w:pStyle w:val="Normal"/>
        <w:numPr>
          <w:ilvl w:val="0"/>
          <w:numId w:val="43"/>
        </w:numPr>
        <w:rPr>
          <w:sz w:val="24"/>
        </w:rPr>
      </w:pPr>
      <w:r>
        <w:rPr>
          <w:sz w:val="24"/>
        </w:rPr>
        <w:t>Each Utility will communicate to current E/M trading partners its DTM test plan, any trading partner agreements, and DTM testing batch schedule dates.</w:t>
        <w:br/>
      </w:r>
    </w:p>
    <w:p>
      <w:pPr>
        <w:pStyle w:val="List"/>
        <w:numPr>
          <w:ilvl w:val="0"/>
          <w:numId w:val="20"/>
        </w:numPr>
        <w:spacing w:before="0" w:after="0"/>
        <w:rPr>
          <w:rFonts w:ascii="Times New Roman" w:hAnsi="Times New Roman" w:cs="Times New Roman"/>
          <w:strike/>
        </w:rPr>
      </w:pPr>
      <w:r>
        <w:rPr>
          <w:rFonts w:cs="Times New Roman" w:ascii="Times New Roman" w:hAnsi="Times New Roman"/>
        </w:rPr>
        <w:t xml:space="preserve">Each party will provide a contact and an eMail address to which manual and automated protocol and exchange failure messages are sent. </w:t>
        <w:br/>
      </w:r>
    </w:p>
    <w:p>
      <w:pPr>
        <w:pStyle w:val="BodyText2"/>
        <w:numPr>
          <w:ilvl w:val="0"/>
          <w:numId w:val="43"/>
        </w:numPr>
        <w:rPr/>
      </w:pPr>
      <w:r>
        <w:rPr/>
        <w:t>Each Utility will document DTM specifications such as: GISB server URL’s, port restrictions, protocol/exchange failure process and contacts, test exceptions on their WEB site or written documentation (i.e. trading partner agreement).</w:t>
      </w:r>
    </w:p>
    <w:p>
      <w:pPr>
        <w:pStyle w:val="Heading2"/>
        <w:ind w:hanging="0" w:start="0"/>
        <w:rPr/>
      </w:pPr>
      <w:r>
        <w:rPr/>
      </w:r>
    </w:p>
    <w:p>
      <w:pPr>
        <w:pStyle w:val="Normal"/>
        <w:rPr>
          <w:b/>
          <w:sz w:val="28"/>
        </w:rPr>
      </w:pPr>
      <w:r>
        <w:rPr>
          <w:b/>
          <w:sz w:val="28"/>
        </w:rPr>
        <w:t>Testing Goals</w:t>
        <w:br/>
      </w:r>
    </w:p>
    <w:p>
      <w:pPr>
        <w:pStyle w:val="List"/>
        <w:numPr>
          <w:ilvl w:val="0"/>
          <w:numId w:val="9"/>
        </w:numPr>
        <w:rPr>
          <w:rFonts w:ascii="Times New Roman" w:hAnsi="Times New Roman" w:cs="Times New Roman"/>
        </w:rPr>
      </w:pPr>
      <w:r>
        <w:rPr>
          <w:rFonts w:cs="Times New Roman" w:ascii="Times New Roman" w:hAnsi="Times New Roman"/>
        </w:rPr>
        <w:t>Establish DTM connectivity between trading partners, including HTTP connections and encryption compatibility.</w:t>
      </w:r>
    </w:p>
    <w:p>
      <w:pPr>
        <w:pStyle w:val="List"/>
        <w:numPr>
          <w:ilvl w:val="0"/>
          <w:numId w:val="9"/>
        </w:numPr>
        <w:rPr>
          <w:rFonts w:ascii="Times New Roman" w:hAnsi="Times New Roman" w:cs="Times New Roman"/>
          <w:strike/>
        </w:rPr>
      </w:pPr>
      <w:r>
        <w:rPr>
          <w:rFonts w:cs="Times New Roman" w:ascii="Times New Roman" w:hAnsi="Times New Roman"/>
        </w:rPr>
        <w:t xml:space="preserve">Validate that a data file can be sent and that the recipient, upon receipt and decryption of the file can authenticate the data file content with the sender. </w:t>
      </w:r>
    </w:p>
    <w:p>
      <w:pPr>
        <w:pStyle w:val="List"/>
        <w:numPr>
          <w:ilvl w:val="0"/>
          <w:numId w:val="9"/>
        </w:numPr>
        <w:rPr>
          <w:rFonts w:ascii="Times New Roman" w:hAnsi="Times New Roman" w:cs="Times New Roman"/>
        </w:rPr>
      </w:pPr>
      <w:r>
        <w:rPr>
          <w:rFonts w:cs="Times New Roman" w:ascii="Times New Roman" w:hAnsi="Times New Roman"/>
        </w:rPr>
        <w:t>Validate that HTTP (GISB) acknowledgements are being delivered.</w:t>
      </w:r>
    </w:p>
    <w:p>
      <w:pPr>
        <w:pStyle w:val="List"/>
        <w:numPr>
          <w:ilvl w:val="0"/>
          <w:numId w:val="9"/>
        </w:numPr>
        <w:rPr>
          <w:rFonts w:ascii="Times New Roman" w:hAnsi="Times New Roman" w:cs="Times New Roman"/>
        </w:rPr>
      </w:pPr>
      <w:r>
        <w:rPr>
          <w:rFonts w:cs="Times New Roman" w:ascii="Times New Roman" w:hAnsi="Times New Roman"/>
        </w:rPr>
        <w:t>Validate that protocol failures are handled properly.</w:t>
      </w:r>
    </w:p>
    <w:p>
      <w:pPr>
        <w:pStyle w:val="List"/>
        <w:numPr>
          <w:ilvl w:val="0"/>
          <w:numId w:val="9"/>
        </w:numPr>
        <w:rPr>
          <w:rFonts w:ascii="Times New Roman" w:hAnsi="Times New Roman" w:cs="Times New Roman"/>
        </w:rPr>
      </w:pPr>
      <w:r>
        <w:rPr>
          <w:rFonts w:cs="Times New Roman" w:ascii="Times New Roman" w:hAnsi="Times New Roman"/>
        </w:rPr>
        <w:t>Validate that exchange failures are handled properly.</w:t>
      </w:r>
    </w:p>
    <w:p>
      <w:pPr>
        <w:pStyle w:val="List"/>
        <w:numPr>
          <w:ilvl w:val="0"/>
          <w:numId w:val="9"/>
        </w:numPr>
        <w:rPr>
          <w:rFonts w:ascii="Times New Roman" w:hAnsi="Times New Roman" w:cs="Times New Roman"/>
        </w:rPr>
      </w:pPr>
      <w:r>
        <w:rPr>
          <w:rFonts w:cs="Times New Roman" w:ascii="Times New Roman" w:hAnsi="Times New Roman"/>
        </w:rPr>
        <w:t>Validate that encryption/decryption failures are handled properly.</w:t>
        <w:br/>
      </w:r>
    </w:p>
    <w:p>
      <w:pPr>
        <w:pStyle w:val="Heading3"/>
        <w:ind w:hanging="0" w:start="0"/>
        <w:rPr/>
      </w:pPr>
      <w:bookmarkStart w:id="15" w:name="__RefHeading___Toc504980676"/>
      <w:bookmarkEnd w:id="15"/>
      <w:r>
        <w:rPr/>
        <w:t>C. Detailed DTM Testing Specification</w:t>
      </w:r>
    </w:p>
    <w:p>
      <w:pPr>
        <w:pStyle w:val="Heading2"/>
        <w:ind w:hanging="0" w:start="0"/>
        <w:rPr>
          <w:sz w:val="28"/>
        </w:rPr>
      </w:pPr>
      <w:r>
        <w:rPr>
          <w:sz w:val="28"/>
        </w:rPr>
      </w:r>
    </w:p>
    <w:p>
      <w:pPr>
        <w:pStyle w:val="BodyTextIndent"/>
        <w:ind w:start="0" w:end="0"/>
        <w:rPr>
          <w:sz w:val="24"/>
        </w:rPr>
      </w:pPr>
      <w:r>
        <w:rPr>
          <w:sz w:val="24"/>
        </w:rPr>
        <w:t xml:space="preserve">The test specification described herein is the test plan model for the DTM testing to be conducted during Phase I testing. </w:t>
      </w:r>
    </w:p>
    <w:p>
      <w:pPr>
        <w:pStyle w:val="BodyTextIndent"/>
        <w:ind w:start="0" w:end="0"/>
        <w:rPr>
          <w:sz w:val="24"/>
        </w:rPr>
      </w:pPr>
      <w:r>
        <w:rPr>
          <w:sz w:val="24"/>
        </w:rPr>
      </w:r>
    </w:p>
    <w:p>
      <w:pPr>
        <w:pStyle w:val="BodyTextIndent"/>
        <w:ind w:start="0" w:end="0"/>
        <w:rPr>
          <w:b/>
        </w:rPr>
      </w:pPr>
      <w:r>
        <w:rPr>
          <w:sz w:val="24"/>
        </w:rPr>
        <w:t xml:space="preserve">DTM testing should be targeted for completion within one week.  </w:t>
        <w:br/>
        <w:br/>
        <w:t xml:space="preserve">Each trading partner will contact each of its trading partners when DTM capability is demonstrated.  </w:t>
      </w:r>
    </w:p>
    <w:p>
      <w:pPr>
        <w:pStyle w:val="Normal"/>
        <w:rPr>
          <w:b/>
        </w:rPr>
      </w:pPr>
      <w:r>
        <w:rPr>
          <w:b/>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t>Internal Testing</w:t>
        <w:br/>
      </w:r>
    </w:p>
    <w:p>
      <w:pPr>
        <w:pStyle w:val="Normal"/>
        <w:rPr/>
      </w:pPr>
      <w:r>
        <w:rPr>
          <w:b/>
          <w:sz w:val="24"/>
        </w:rPr>
        <w:t xml:space="preserve">Purpose:  </w:t>
      </w:r>
      <w:r>
        <w:rPr>
          <w:sz w:val="24"/>
        </w:rPr>
        <w:t xml:space="preserve">The parties, prior to any testing with a trading partner, should conduct internal testing.  This internal test can be used to identify and rectify problem areas before working with a trading partner. This test is intended as a guideline only and is not meant to replace any internal acceptance testing used by a particular company. </w:t>
        <w:br/>
      </w:r>
    </w:p>
    <w:p>
      <w:pPr>
        <w:pStyle w:val="Normal"/>
        <w:jc w:val="both"/>
        <w:rPr/>
      </w:pPr>
      <w:r>
        <w:rPr>
          <w:b/>
          <w:sz w:val="24"/>
        </w:rPr>
        <w:t xml:space="preserve">Expected Results: </w:t>
      </w:r>
      <w:r>
        <w:rPr>
          <w:sz w:val="24"/>
        </w:rPr>
        <w:t xml:space="preserve"> Ensure all functions will operate as required.</w:t>
      </w:r>
    </w:p>
    <w:p>
      <w:pPr>
        <w:pStyle w:val="Normal"/>
        <w:jc w:val="both"/>
        <w:rPr>
          <w:sz w:val="24"/>
        </w:rPr>
      </w:pPr>
      <w:r>
        <w:rPr>
          <w:sz w:val="24"/>
        </w:rPr>
      </w:r>
    </w:p>
    <w:p>
      <w:pPr>
        <w:pStyle w:val="Normal"/>
        <w:jc w:val="both"/>
        <w:rPr>
          <w:b/>
          <w:sz w:val="24"/>
        </w:rPr>
      </w:pPr>
      <w:r>
        <w:rPr>
          <w:b/>
          <w:sz w:val="24"/>
        </w:rPr>
        <w:t>Test Script:</w:t>
      </w:r>
    </w:p>
    <w:p>
      <w:pPr>
        <w:pStyle w:val="Normal"/>
        <w:numPr>
          <w:ilvl w:val="0"/>
          <w:numId w:val="55"/>
        </w:numPr>
        <w:jc w:val="both"/>
        <w:rPr>
          <w:sz w:val="24"/>
        </w:rPr>
      </w:pPr>
      <w:r>
        <w:rPr>
          <w:sz w:val="24"/>
        </w:rPr>
        <w:t>Functionality of the Internet connections including the firewall.  These tests can be performed by attempting to access the GISB server via a workstation attached to a network other then the company’s internal private network.  Two valid methods of performing these tests are:</w:t>
      </w:r>
    </w:p>
    <w:p>
      <w:pPr>
        <w:pStyle w:val="Normal"/>
        <w:numPr>
          <w:ilvl w:val="0"/>
          <w:numId w:val="53"/>
        </w:numPr>
        <w:tabs>
          <w:tab w:val="clear" w:pos="720"/>
          <w:tab w:val="left" w:pos="1080" w:leader="none"/>
        </w:tabs>
        <w:ind w:hanging="360" w:start="1080" w:end="0"/>
        <w:jc w:val="both"/>
        <w:rPr>
          <w:sz w:val="24"/>
        </w:rPr>
      </w:pPr>
      <w:r>
        <w:rPr>
          <w:sz w:val="24"/>
        </w:rPr>
        <w:t xml:space="preserve">Provide an IP subnet, or set of IP addresses which reside on a network segment defined as a public segment and residing outside the firewall.  </w:t>
      </w:r>
    </w:p>
    <w:p>
      <w:pPr>
        <w:pStyle w:val="Normal"/>
        <w:numPr>
          <w:ilvl w:val="0"/>
          <w:numId w:val="53"/>
        </w:numPr>
        <w:tabs>
          <w:tab w:val="clear" w:pos="720"/>
          <w:tab w:val="left" w:pos="1080" w:leader="none"/>
        </w:tabs>
        <w:ind w:hanging="360" w:start="1080" w:end="0"/>
        <w:jc w:val="both"/>
        <w:rPr>
          <w:sz w:val="24"/>
        </w:rPr>
      </w:pPr>
      <w:r>
        <w:rPr>
          <w:sz w:val="24"/>
        </w:rPr>
        <w:t>A workstation that is not connected to the organization’s private network could dial an ISP and act as a client workstation.</w:t>
      </w:r>
    </w:p>
    <w:p>
      <w:pPr>
        <w:pStyle w:val="Header"/>
        <w:tabs>
          <w:tab w:val="clear" w:pos="4320"/>
          <w:tab w:val="clear" w:pos="8640"/>
        </w:tabs>
        <w:jc w:val="both"/>
        <w:rPr>
          <w:sz w:val="24"/>
        </w:rPr>
      </w:pPr>
      <w:r>
        <w:rPr>
          <w:sz w:val="24"/>
        </w:rPr>
      </w:r>
    </w:p>
    <w:p>
      <w:pPr>
        <w:pStyle w:val="Normal"/>
        <w:numPr>
          <w:ilvl w:val="0"/>
          <w:numId w:val="55"/>
        </w:numPr>
        <w:jc w:val="both"/>
        <w:rPr>
          <w:sz w:val="24"/>
        </w:rPr>
      </w:pPr>
      <w:r>
        <w:rPr>
          <w:sz w:val="24"/>
        </w:rPr>
        <w:t>Files should be sent to and retrieved from this public segment.  Files can be ‘clear text’ files at this point.</w:t>
      </w:r>
    </w:p>
    <w:p>
      <w:pPr>
        <w:pStyle w:val="Header"/>
        <w:tabs>
          <w:tab w:val="clear" w:pos="4320"/>
          <w:tab w:val="clear" w:pos="8640"/>
        </w:tabs>
        <w:jc w:val="both"/>
        <w:rPr>
          <w:sz w:val="24"/>
        </w:rPr>
      </w:pPr>
      <w:r>
        <w:rPr>
          <w:sz w:val="24"/>
        </w:rPr>
      </w:r>
    </w:p>
    <w:p>
      <w:pPr>
        <w:pStyle w:val="Normal"/>
        <w:numPr>
          <w:ilvl w:val="0"/>
          <w:numId w:val="55"/>
        </w:numPr>
        <w:jc w:val="both"/>
        <w:rPr>
          <w:b/>
          <w:i/>
          <w:i/>
          <w:sz w:val="24"/>
        </w:rPr>
      </w:pPr>
      <w:r>
        <w:rPr>
          <w:sz w:val="24"/>
        </w:rPr>
        <w:t>Automated processes should be tested. These should include, but not necessarily be limited to:</w:t>
      </w:r>
    </w:p>
    <w:p>
      <w:pPr>
        <w:pStyle w:val="Bullet1"/>
        <w:numPr>
          <w:ilvl w:val="0"/>
          <w:numId w:val="28"/>
        </w:numPr>
        <w:tabs>
          <w:tab w:val="clear" w:pos="720"/>
          <w:tab w:val="left" w:pos="1080" w:leader="none"/>
        </w:tabs>
        <w:ind w:hanging="0" w:start="720" w:end="0"/>
        <w:rPr>
          <w:sz w:val="24"/>
        </w:rPr>
      </w:pPr>
      <w:r>
        <w:rPr>
          <w:sz w:val="24"/>
        </w:rPr>
        <w:t>Notification of Protocol and Exchange failure(s)</w:t>
      </w:r>
    </w:p>
    <w:p>
      <w:pPr>
        <w:pStyle w:val="Bullet1"/>
        <w:numPr>
          <w:ilvl w:val="0"/>
          <w:numId w:val="28"/>
        </w:numPr>
        <w:tabs>
          <w:tab w:val="clear" w:pos="720"/>
          <w:tab w:val="left" w:pos="1080" w:leader="none"/>
        </w:tabs>
        <w:ind w:hanging="0" w:start="720" w:end="0"/>
        <w:rPr>
          <w:sz w:val="24"/>
        </w:rPr>
      </w:pPr>
      <w:r>
        <w:rPr>
          <w:sz w:val="24"/>
        </w:rPr>
        <w:t>Redundant connections</w:t>
      </w:r>
    </w:p>
    <w:p>
      <w:pPr>
        <w:pStyle w:val="Bullet1"/>
        <w:numPr>
          <w:ilvl w:val="0"/>
          <w:numId w:val="28"/>
        </w:numPr>
        <w:tabs>
          <w:tab w:val="clear" w:pos="720"/>
          <w:tab w:val="left" w:pos="1080" w:leader="none"/>
        </w:tabs>
        <w:ind w:hanging="0" w:start="720" w:end="0"/>
        <w:rPr>
          <w:sz w:val="24"/>
        </w:rPr>
      </w:pPr>
      <w:r>
        <w:rPr>
          <w:sz w:val="24"/>
        </w:rPr>
        <w:t>Automated parsing of GISB acknowledgment and error messages</w:t>
      </w:r>
    </w:p>
    <w:p>
      <w:pPr>
        <w:pStyle w:val="Normal"/>
        <w:jc w:val="both"/>
        <w:rPr>
          <w:sz w:val="24"/>
        </w:rPr>
      </w:pPr>
      <w:r>
        <w:rPr>
          <w:sz w:val="24"/>
        </w:rPr>
      </w:r>
    </w:p>
    <w:p>
      <w:pPr>
        <w:pStyle w:val="BodyTextIndent"/>
        <w:numPr>
          <w:ilvl w:val="0"/>
          <w:numId w:val="55"/>
        </w:numPr>
        <w:jc w:val="both"/>
        <w:rPr>
          <w:sz w:val="24"/>
        </w:rPr>
      </w:pPr>
      <w:r>
        <w:rPr>
          <w:sz w:val="24"/>
        </w:rPr>
        <w:t>These tests should also be used to create an internal notification process and test the monitoring capability of the company. Tests should look to answer the question: what actions are required in the event of a failure and who is responsible for initiating these actions? Failures that should be tested are:</w:t>
      </w:r>
    </w:p>
    <w:p>
      <w:pPr>
        <w:pStyle w:val="BodyTextIndent"/>
        <w:numPr>
          <w:ilvl w:val="0"/>
          <w:numId w:val="42"/>
        </w:numPr>
        <w:ind w:hanging="360" w:start="1080" w:end="0"/>
        <w:jc w:val="both"/>
        <w:rPr>
          <w:sz w:val="24"/>
        </w:rPr>
      </w:pPr>
      <w:r>
        <w:rPr>
          <w:sz w:val="24"/>
        </w:rPr>
        <w:t xml:space="preserve">Catastrophic failure of the GISB server. </w:t>
      </w:r>
    </w:p>
    <w:p>
      <w:pPr>
        <w:pStyle w:val="BodyTextIndent"/>
        <w:numPr>
          <w:ilvl w:val="0"/>
          <w:numId w:val="42"/>
        </w:numPr>
        <w:ind w:hanging="360" w:start="1080" w:end="0"/>
        <w:jc w:val="both"/>
        <w:rPr>
          <w:sz w:val="24"/>
        </w:rPr>
      </w:pPr>
      <w:r>
        <w:rPr>
          <w:sz w:val="24"/>
        </w:rPr>
        <w:t>Failure of primary Internet connection.</w:t>
      </w:r>
    </w:p>
    <w:p>
      <w:pPr>
        <w:pStyle w:val="BodyTextIndent"/>
        <w:numPr>
          <w:ilvl w:val="0"/>
          <w:numId w:val="42"/>
        </w:numPr>
        <w:ind w:hanging="360" w:start="1080" w:end="0"/>
        <w:jc w:val="both"/>
        <w:rPr>
          <w:sz w:val="24"/>
        </w:rPr>
      </w:pPr>
      <w:r>
        <w:rPr>
          <w:sz w:val="24"/>
        </w:rPr>
        <w:t>Failure of User ID / Password combinations</w:t>
      </w:r>
    </w:p>
    <w:p>
      <w:pPr>
        <w:pStyle w:val="BodyTextIndent"/>
        <w:numPr>
          <w:ilvl w:val="0"/>
          <w:numId w:val="42"/>
        </w:numPr>
        <w:ind w:hanging="360" w:start="1080" w:end="0"/>
        <w:jc w:val="both"/>
        <w:rPr>
          <w:sz w:val="24"/>
        </w:rPr>
      </w:pPr>
      <w:r>
        <w:rPr>
          <w:sz w:val="24"/>
        </w:rPr>
        <w:t>Failure of PGP decryption (invalid or missing key)</w:t>
      </w:r>
    </w:p>
    <w:p>
      <w:pPr>
        <w:pStyle w:val="BodyTextIndent"/>
        <w:numPr>
          <w:ilvl w:val="0"/>
          <w:numId w:val="42"/>
        </w:numPr>
        <w:ind w:hanging="360" w:start="1080" w:end="0"/>
        <w:jc w:val="both"/>
        <w:rPr>
          <w:b/>
          <w:sz w:val="24"/>
        </w:rPr>
      </w:pPr>
      <w:r>
        <w:rPr>
          <w:sz w:val="24"/>
        </w:rPr>
        <w:t>Mailbox full conditions (If you are limiting mailbox sizes)</w:t>
      </w:r>
    </w:p>
    <w:p>
      <w:pPr>
        <w:pStyle w:val="BodyTextIndent"/>
        <w:ind w:start="0" w:end="0"/>
        <w:jc w:val="both"/>
        <w:rPr>
          <w:b/>
          <w:sz w:val="24"/>
        </w:rPr>
      </w:pPr>
      <w:r>
        <w:rPr>
          <w:b/>
          <w:sz w:val="24"/>
        </w:rPr>
      </w:r>
    </w:p>
    <w:p>
      <w:pPr>
        <w:pStyle w:val="BodyTextIndent"/>
        <w:numPr>
          <w:ilvl w:val="0"/>
          <w:numId w:val="55"/>
        </w:numPr>
        <w:rPr>
          <w:b/>
        </w:rPr>
      </w:pPr>
      <w:r>
        <w:rPr>
          <w:sz w:val="24"/>
        </w:rPr>
        <w:t>Stress testing can be performed at this stage. A large file (i.e. 50Mb) should be transferred to the GISB server.</w:t>
        <w:br/>
      </w:r>
    </w:p>
    <w:p>
      <w:pPr>
        <w:pStyle w:val="BodyTextIndent"/>
        <w:numPr>
          <w:ilvl w:val="0"/>
          <w:numId w:val="55"/>
        </w:numPr>
        <w:rPr>
          <w:b/>
        </w:rPr>
      </w:pPr>
      <w:r>
        <w:rPr>
          <w:sz w:val="24"/>
        </w:rPr>
        <w:t>Encryption/decryption methods, certificates and keys will be tested. An envelope should be created and encrypted from the test user id. The file should then be decrypted, processed, encrypted and returned to the test id.</w:t>
        <w:br/>
      </w:r>
      <w:r>
        <w:br w:type="page"/>
      </w:r>
    </w:p>
    <w:p>
      <w:pPr>
        <w:pStyle w:val="Heading2"/>
        <w:ind w:hanging="2070" w:start="2070" w:end="0"/>
        <w:rPr/>
      </w:pPr>
      <w:bookmarkStart w:id="16" w:name="__RefHeading___Toc504980677"/>
      <w:bookmarkEnd w:id="16"/>
      <w:r>
        <w:rPr/>
        <w:t>Appendix A: New York Electronic Data Interchange</w:t>
        <w:br/>
        <w:t>Test Plan Overview</w:t>
      </w:r>
    </w:p>
    <w:p>
      <w:pPr>
        <w:pStyle w:val="Normal"/>
        <w:jc w:val="center"/>
        <w:rPr>
          <w:lang w:val="en-CA"/>
        </w:rPr>
      </w:pPr>
      <w:r>
        <w:rPr>
          <w:lang w:val="en-CA"/>
        </w:rPr>
        <mc:AlternateContent>
          <mc:Choice Requires="wps">
            <w:drawing>
              <wp:anchor behindDoc="0" distT="0" distB="0" distL="114935" distR="114935" simplePos="0" locked="0" layoutInCell="1" allowOverlap="1" relativeHeight="45">
                <wp:simplePos x="0" y="0"/>
                <wp:positionH relativeFrom="column">
                  <wp:posOffset>0</wp:posOffset>
                </wp:positionH>
                <wp:positionV relativeFrom="paragraph">
                  <wp:posOffset>71120</wp:posOffset>
                </wp:positionV>
                <wp:extent cx="5212080" cy="0"/>
                <wp:effectExtent l="0" t="19050" r="0" b="19050"/>
                <wp:wrapNone/>
                <wp:docPr id="1"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6pt" to="410.35pt,5.6pt" stroked="t" o:allowincell="f" style="position:absolute">
                <v:stroke color="black" weight="38160" joinstyle="miter" endcap="flat"/>
                <v:fill o:detectmouseclick="t" on="false"/>
                <w10:wrap type="none"/>
              </v:line>
            </w:pict>
          </mc:Fallback>
        </mc:AlternateContent>
      </w:r>
    </w:p>
    <w:p>
      <w:pPr>
        <w:pStyle w:val="Normal"/>
        <w:jc w:val="center"/>
        <w:rPr>
          <w:b/>
          <w:i/>
          <w:i/>
        </w:rPr>
      </w:pPr>
      <w:r>
        <w:rPr>
          <w:b/>
          <w:i/>
        </w:rPr>
        <w:t xml:space="preserve"> </w:t>
      </w:r>
    </w:p>
    <w:p>
      <w:pPr>
        <w:pStyle w:val="Header"/>
        <w:tabs>
          <w:tab w:val="clear" w:pos="4320"/>
          <w:tab w:val="clear" w:pos="8640"/>
        </w:tabs>
        <w:rPr>
          <w:b/>
          <w:i/>
          <w:i/>
        </w:rPr>
      </w:pPr>
      <w:r>
        <w:rPr>
          <w:b/>
          <w:i/>
        </w:rPr>
      </w:r>
    </w:p>
    <w:p>
      <w:pPr>
        <w:pStyle w:val="Normal"/>
        <w:numPr>
          <w:ilvl w:val="0"/>
          <w:numId w:val="4"/>
        </w:numPr>
        <w:tabs>
          <w:tab w:val="clear" w:pos="720"/>
        </w:tabs>
        <w:rPr>
          <w:sz w:val="52"/>
        </w:rPr>
      </w:pPr>
      <w:r>
        <w:rPr>
          <w:b/>
          <w:sz w:val="28"/>
        </w:rPr>
        <w:t>SUMMARY</w:t>
      </w:r>
    </w:p>
    <w:p>
      <w:pPr>
        <w:pStyle w:val="Normal"/>
        <w:rPr>
          <w:sz w:val="52"/>
        </w:rPr>
      </w:pPr>
      <w:r>
        <w:rPr>
          <w:color w:val="000000"/>
        </w:rPr>
        <w:t xml:space="preserve">      </w:t>
      </w:r>
      <w:r>
        <w:rPr>
          <w:i/>
          <w:color w:val="000000"/>
        </w:rPr>
        <w:t xml:space="preserve">(from Section 7, June 30, 1999 </w:t>
      </w:r>
      <w:r>
        <w:rPr>
          <w:i/>
        </w:rPr>
        <w:t>Report of the New York EDI Collaborative)</w:t>
      </w:r>
    </w:p>
    <w:p>
      <w:pPr>
        <w:pStyle w:val="Normal"/>
        <w:rPr>
          <w:color w:val="000000"/>
          <w:sz w:val="52"/>
        </w:rPr>
      </w:pPr>
      <w:r>
        <w:rPr>
          <w:color w:val="000000"/>
          <w:sz w:val="52"/>
        </w:rPr>
      </w:r>
    </w:p>
    <w:p>
      <w:pPr>
        <w:pStyle w:val="BodyTextIndent"/>
        <w:spacing w:lineRule="exact" w:line="280"/>
        <w:ind w:start="450" w:end="0"/>
        <w:rPr>
          <w:sz w:val="24"/>
        </w:rPr>
      </w:pPr>
      <w:r>
        <w:rPr>
          <w:sz w:val="24"/>
        </w:rPr>
        <w:t>“</w:t>
      </w:r>
      <w:r>
        <w:rPr>
          <w:sz w:val="24"/>
        </w:rPr>
        <w:t>Prior to implementation of the EDI standards in New York, testing of both EDI transactions and the data transfer mechanism must occur.  Testing ensures that the internal programming necessary for receipt and transmission of EDI transactions, the medium to be used for the electronic exchange, and the EDI transactions themselves are functioning properly.  Sending and receiving a variety of test (sample) transactions enables the parties to identify and resolve problems in advance of live operations and ensures that the system interfaces are working properly.  To satisfy these objectives it will be necessary for each individual party to engage in testing with all trading partners, to test all EDI transactions and to send and receive a number of EDI files that vary in size.”</w:t>
      </w:r>
    </w:p>
    <w:p>
      <w:pPr>
        <w:pStyle w:val="Header"/>
        <w:tabs>
          <w:tab w:val="clear" w:pos="4320"/>
          <w:tab w:val="clear" w:pos="8640"/>
        </w:tabs>
        <w:rPr/>
      </w:pPr>
      <w:r>
        <w:rPr/>
        <w:br/>
      </w:r>
    </w:p>
    <w:p>
      <w:pPr>
        <w:pStyle w:val="Normal"/>
        <w:numPr>
          <w:ilvl w:val="0"/>
          <w:numId w:val="29"/>
        </w:numPr>
        <w:rPr>
          <w:b/>
          <w:sz w:val="28"/>
        </w:rPr>
      </w:pPr>
      <w:r>
        <w:rPr>
          <w:b/>
          <w:sz w:val="28"/>
        </w:rPr>
        <w:t>GOALS</w:t>
      </w:r>
    </w:p>
    <w:p>
      <w:pPr>
        <w:pStyle w:val="Normal"/>
        <w:rPr>
          <w:b/>
          <w:sz w:val="28"/>
        </w:rPr>
      </w:pPr>
      <w:r>
        <w:rPr>
          <w:b/>
          <w:sz w:val="28"/>
        </w:rPr>
      </w:r>
    </w:p>
    <w:p>
      <w:pPr>
        <w:pStyle w:val="Normal"/>
        <w:numPr>
          <w:ilvl w:val="0"/>
          <w:numId w:val="32"/>
        </w:numPr>
        <w:tabs>
          <w:tab w:val="clear" w:pos="720"/>
        </w:tabs>
        <w:ind w:hanging="270" w:start="720" w:end="0"/>
        <w:rPr>
          <w:sz w:val="24"/>
        </w:rPr>
      </w:pPr>
      <w:r>
        <w:rPr>
          <w:sz w:val="24"/>
        </w:rPr>
        <w:t>Ensure companies have internal systems and processes in place to create EDI transactions that adhere to State and industry standards.</w:t>
        <w:br/>
      </w:r>
    </w:p>
    <w:p>
      <w:pPr>
        <w:pStyle w:val="Normal"/>
        <w:numPr>
          <w:ilvl w:val="0"/>
          <w:numId w:val="32"/>
        </w:numPr>
        <w:tabs>
          <w:tab w:val="clear" w:pos="720"/>
        </w:tabs>
        <w:ind w:hanging="270" w:start="720" w:end="0"/>
        <w:rPr>
          <w:sz w:val="24"/>
        </w:rPr>
      </w:pPr>
      <w:r>
        <w:rPr>
          <w:sz w:val="24"/>
        </w:rPr>
        <w:t>Ensure companies have internal systems and processes that enable high volume levels of EDI activity.</w:t>
        <w:br/>
      </w:r>
    </w:p>
    <w:p>
      <w:pPr>
        <w:pStyle w:val="Normal"/>
        <w:numPr>
          <w:ilvl w:val="0"/>
          <w:numId w:val="32"/>
        </w:numPr>
        <w:tabs>
          <w:tab w:val="clear" w:pos="720"/>
        </w:tabs>
        <w:ind w:hanging="270" w:start="720" w:end="0"/>
        <w:rPr/>
      </w:pPr>
      <w:r>
        <w:rPr>
          <w:sz w:val="24"/>
        </w:rPr>
        <w:t>Ensure companies have the New York Internet Data Transfer Mechanism implemented and working properly.</w:t>
      </w:r>
    </w:p>
    <w:p>
      <w:pPr>
        <w:pStyle w:val="List"/>
        <w:ind w:hanging="0" w:start="0" w:end="0"/>
        <w:rPr>
          <w:rFonts w:ascii="Times New Roman" w:hAnsi="Times New Roman" w:cs="Times New Roman"/>
          <w:u w:val="single"/>
        </w:rPr>
      </w:pPr>
      <w:r>
        <w:rPr>
          <w:rFonts w:cs="Times New Roman" w:ascii="Times New Roman" w:hAnsi="Times New Roman"/>
          <w:u w:val="single"/>
        </w:rPr>
      </w:r>
    </w:p>
    <w:p>
      <w:pPr>
        <w:pStyle w:val="Normal"/>
        <w:numPr>
          <w:ilvl w:val="0"/>
          <w:numId w:val="29"/>
        </w:numPr>
        <w:rPr>
          <w:b/>
          <w:sz w:val="28"/>
        </w:rPr>
      </w:pPr>
      <w:r>
        <w:rPr>
          <w:b/>
          <w:sz w:val="28"/>
        </w:rPr>
        <w:t>ASSUMPTIONS</w:t>
      </w:r>
    </w:p>
    <w:p>
      <w:pPr>
        <w:pStyle w:val="Normal"/>
        <w:rPr>
          <w:b/>
          <w:sz w:val="28"/>
        </w:rPr>
      </w:pPr>
      <w:r>
        <w:rPr>
          <w:b/>
          <w:sz w:val="28"/>
        </w:rPr>
      </w:r>
    </w:p>
    <w:p>
      <w:pPr>
        <w:pStyle w:val="Normal"/>
        <w:numPr>
          <w:ilvl w:val="0"/>
          <w:numId w:val="34"/>
        </w:numPr>
        <w:ind w:hanging="270" w:start="720" w:end="0"/>
        <w:rPr>
          <w:sz w:val="24"/>
        </w:rPr>
      </w:pPr>
      <w:r>
        <w:rPr>
          <w:sz w:val="24"/>
        </w:rPr>
        <w:t>EDI testing in New York will follow a multi-phased approach, designed to facilitate a smooth EDI implementation for all companies.</w:t>
        <w:br/>
      </w:r>
    </w:p>
    <w:p>
      <w:pPr>
        <w:pStyle w:val="Normal"/>
        <w:numPr>
          <w:ilvl w:val="0"/>
          <w:numId w:val="34"/>
        </w:numPr>
        <w:ind w:hanging="270" w:start="720" w:end="0"/>
        <w:rPr>
          <w:sz w:val="24"/>
        </w:rPr>
      </w:pPr>
      <w:r>
        <w:rPr>
          <w:sz w:val="24"/>
        </w:rPr>
        <w:t>Companies must demonstrate they have implemented automated interfaces to support EDI, in accordance with the PSC’s Order and industry standards, prior to beginning testing activities.</w:t>
        <w:br/>
      </w:r>
    </w:p>
    <w:p>
      <w:pPr>
        <w:pStyle w:val="Normal"/>
        <w:numPr>
          <w:ilvl w:val="0"/>
          <w:numId w:val="34"/>
        </w:numPr>
        <w:ind w:hanging="270" w:start="720" w:end="0"/>
        <w:rPr>
          <w:sz w:val="24"/>
        </w:rPr>
      </w:pPr>
      <w:r>
        <w:rPr>
          <w:sz w:val="24"/>
        </w:rPr>
        <w:t xml:space="preserve">PSC Staff will serve as  </w:t>
      </w:r>
      <w:r>
        <w:rPr>
          <w:b/>
          <w:i/>
          <w:sz w:val="24"/>
        </w:rPr>
        <w:t>“Test Moderator”</w:t>
      </w:r>
      <w:r>
        <w:rPr>
          <w:sz w:val="24"/>
        </w:rPr>
        <w:t xml:space="preserve"> for Phase I transaction syntactical certification.</w:t>
        <w:br/>
      </w:r>
    </w:p>
    <w:p>
      <w:pPr>
        <w:pStyle w:val="Normal"/>
        <w:numPr>
          <w:ilvl w:val="0"/>
          <w:numId w:val="34"/>
        </w:numPr>
        <w:ind w:hanging="270" w:start="720" w:end="0"/>
        <w:rPr>
          <w:sz w:val="24"/>
        </w:rPr>
      </w:pPr>
      <w:r>
        <w:rPr>
          <w:sz w:val="24"/>
        </w:rPr>
        <w:t>The New York EDI Collaborative will develop detailed testing requirements based on the published, accepted NY EDI transactions. Utilities will individually determine the test bed of data that will be used for testing purposes with E/Ms.</w:t>
        <w:br/>
      </w:r>
    </w:p>
    <w:p>
      <w:pPr>
        <w:pStyle w:val="Normal"/>
        <w:numPr>
          <w:ilvl w:val="0"/>
          <w:numId w:val="34"/>
        </w:numPr>
        <w:ind w:hanging="270" w:start="720" w:end="0"/>
        <w:rPr>
          <w:sz w:val="24"/>
        </w:rPr>
      </w:pPr>
      <w:r>
        <w:rPr>
          <w:sz w:val="24"/>
        </w:rPr>
        <w:t>Utilities will provide supplementary information as necessary to communicate known testing issues to all involved trading partners.</w:t>
        <w:br/>
      </w:r>
    </w:p>
    <w:p>
      <w:pPr>
        <w:pStyle w:val="Normal"/>
        <w:numPr>
          <w:ilvl w:val="0"/>
          <w:numId w:val="34"/>
        </w:numPr>
        <w:ind w:hanging="270" w:start="720" w:end="0"/>
        <w:rPr>
          <w:sz w:val="24"/>
        </w:rPr>
      </w:pPr>
      <w:r>
        <w:rPr>
          <w:sz w:val="24"/>
        </w:rPr>
        <w:t>A list of testing contacts for all companies engaged in testing will be maintained and made available through the PSC’s web site.</w:t>
        <w:br/>
      </w:r>
    </w:p>
    <w:p>
      <w:pPr>
        <w:pStyle w:val="Normal"/>
        <w:numPr>
          <w:ilvl w:val="0"/>
          <w:numId w:val="34"/>
        </w:numPr>
        <w:ind w:hanging="270" w:start="720" w:end="0"/>
        <w:rPr>
          <w:sz w:val="24"/>
        </w:rPr>
      </w:pPr>
      <w:r>
        <w:rPr>
          <w:sz w:val="24"/>
        </w:rPr>
        <w:t xml:space="preserve">Each utility will determine the  number of trading partners that it is able to test with simultaneously </w:t>
        <w:br/>
      </w:r>
    </w:p>
    <w:p>
      <w:pPr>
        <w:pStyle w:val="Normal"/>
        <w:numPr>
          <w:ilvl w:val="0"/>
          <w:numId w:val="34"/>
        </w:numPr>
        <w:ind w:hanging="270" w:start="720" w:end="0"/>
        <w:rPr>
          <w:sz w:val="24"/>
        </w:rPr>
      </w:pPr>
      <w:r>
        <w:rPr>
          <w:sz w:val="24"/>
        </w:rPr>
        <w:t>Consistent with the PSC Order, parties that employ VAN solutions (Value Added Networks) do so at their cost and are required to utilize the New York Internet data transfer mechanism at the point of transaction delivery.</w:t>
        <w:br/>
        <w:br/>
        <w:br/>
      </w:r>
    </w:p>
    <w:p>
      <w:pPr>
        <w:pStyle w:val="Heading5"/>
        <w:ind w:hanging="0" w:start="0"/>
        <w:rPr>
          <w:sz w:val="28"/>
        </w:rPr>
      </w:pPr>
      <w:r>
        <w:rPr>
          <w:sz w:val="28"/>
        </w:rPr>
        <w:t>IV. DEFINITIONS</w:t>
      </w:r>
    </w:p>
    <w:p>
      <w:pPr>
        <w:pStyle w:val="Heading3"/>
        <w:ind w:hanging="0" w:start="0"/>
        <w:rPr>
          <w:sz w:val="28"/>
        </w:rPr>
      </w:pPr>
      <w:r>
        <w:rPr>
          <w:sz w:val="28"/>
        </w:rPr>
      </w:r>
    </w:p>
    <w:p>
      <w:pPr>
        <w:pStyle w:val="Normal"/>
        <w:numPr>
          <w:ilvl w:val="0"/>
          <w:numId w:val="22"/>
        </w:numPr>
        <w:tabs>
          <w:tab w:val="clear" w:pos="720"/>
        </w:tabs>
        <w:ind w:hanging="270" w:start="720" w:end="0"/>
        <w:rPr>
          <w:sz w:val="24"/>
        </w:rPr>
      </w:pPr>
      <w:r>
        <w:rPr>
          <w:b/>
          <w:sz w:val="24"/>
        </w:rPr>
        <w:t>Experienced, volunteer E/Ms</w:t>
      </w:r>
      <w:r>
        <w:rPr>
          <w:sz w:val="24"/>
        </w:rPr>
        <w:t xml:space="preserve"> – For Phase II testing, an E/M who has been actively involved in EDI activities for more than 1 year in a deregulated energy environment. Further, these E/Ms must have the ability to engage in varying levels of volume testing, depending on each utility’s needs.  These volumes are expected to range from a minimum of 500 to a maximum of 10,000 transactions per day. </w:t>
      </w:r>
    </w:p>
    <w:p>
      <w:pPr>
        <w:pStyle w:val="Normal"/>
        <w:rPr>
          <w:sz w:val="24"/>
        </w:rPr>
      </w:pPr>
      <w:r>
        <w:rPr>
          <w:sz w:val="24"/>
        </w:rPr>
      </w:r>
    </w:p>
    <w:p>
      <w:pPr>
        <w:pStyle w:val="Normal"/>
        <w:rPr/>
      </w:pPr>
      <w:r>
        <w:rPr/>
      </w:r>
    </w:p>
    <w:p>
      <w:pPr>
        <w:pStyle w:val="Normal"/>
        <w:rPr/>
      </w:pPr>
      <w:r>
        <w:rPr/>
      </w:r>
    </w:p>
    <w:p>
      <w:pPr>
        <w:pStyle w:val="Normal"/>
        <w:numPr>
          <w:ilvl w:val="0"/>
          <w:numId w:val="10"/>
        </w:numPr>
        <w:rPr>
          <w:b/>
          <w:sz w:val="28"/>
        </w:rPr>
      </w:pPr>
      <w:r>
        <w:rPr>
          <w:b/>
          <w:sz w:val="28"/>
        </w:rPr>
        <w:t>TESTING PHASES</w:t>
      </w:r>
    </w:p>
    <w:p>
      <w:pPr>
        <w:pStyle w:val="Normal"/>
        <w:rPr>
          <w:b/>
          <w:sz w:val="28"/>
        </w:rPr>
      </w:pPr>
      <w:r>
        <w:rPr>
          <w:b/>
          <w:sz w:val="28"/>
        </w:rPr>
      </w:r>
    </w:p>
    <w:p>
      <w:pPr>
        <w:pStyle w:val="Heading7"/>
        <w:ind w:hanging="0" w:start="0"/>
        <w:rPr/>
      </w:pPr>
      <w:r>
        <w:rPr/>
        <w:t>Phase I – X12 Syntactical Verification &amp; Demonstration of Internet DTM Capability</w:t>
      </w:r>
    </w:p>
    <w:p>
      <w:pPr>
        <w:pStyle w:val="Normal"/>
        <w:ind w:start="360" w:end="0"/>
        <w:rPr/>
      </w:pPr>
      <w:r>
        <w:rPr/>
      </w:r>
    </w:p>
    <w:p>
      <w:pPr>
        <w:pStyle w:val="Normal"/>
        <w:ind w:firstLine="450" w:end="0"/>
        <w:rPr/>
      </w:pPr>
      <w:r>
        <w:rPr>
          <w:sz w:val="24"/>
          <w:u w:val="single"/>
        </w:rPr>
        <w:t>Description:</w:t>
      </w:r>
      <w:r>
        <w:rPr>
          <w:sz w:val="24"/>
        </w:rPr>
        <w:t xml:space="preserve"> </w:t>
      </w:r>
    </w:p>
    <w:p>
      <w:pPr>
        <w:pStyle w:val="BodyText1"/>
        <w:numPr>
          <w:ilvl w:val="0"/>
          <w:numId w:val="54"/>
        </w:numPr>
        <w:tabs>
          <w:tab w:val="clear" w:pos="720"/>
        </w:tabs>
        <w:ind w:hanging="270" w:start="720" w:end="0"/>
        <w:rPr>
          <w:strike/>
        </w:rPr>
      </w:pPr>
      <w:r>
        <w:rPr/>
        <w:t>All companies are required to create EDI transactions and submit them to the Test Moderator for syntactical verification (reference: NY EDI Testing Scenarios spreadsheet, Phase I Test Scenarios). PSC Staff will serve as Test Moderator and will intervene as needed in any dispute resolution situations.</w:t>
      </w:r>
    </w:p>
    <w:p>
      <w:pPr>
        <w:pStyle w:val="BodyText1"/>
        <w:numPr>
          <w:ilvl w:val="0"/>
          <w:numId w:val="54"/>
        </w:numPr>
        <w:tabs>
          <w:tab w:val="clear" w:pos="720"/>
        </w:tabs>
        <w:ind w:hanging="270" w:start="720" w:end="0"/>
        <w:rPr>
          <w:u w:val="single"/>
        </w:rPr>
      </w:pPr>
      <w:r>
        <w:rPr/>
        <w:t xml:space="preserve">All companies are required to demonstrate Data Transfer Mechanism (DTM) communications capability. </w:t>
      </w:r>
    </w:p>
    <w:p>
      <w:pPr>
        <w:pStyle w:val="BodyText1"/>
        <w:numPr>
          <w:ilvl w:val="0"/>
          <w:numId w:val="54"/>
        </w:numPr>
        <w:tabs>
          <w:tab w:val="clear" w:pos="720"/>
        </w:tabs>
        <w:ind w:hanging="270" w:start="720" w:end="0"/>
        <w:rPr>
          <w:u w:val="single"/>
        </w:rPr>
      </w:pPr>
      <w:r>
        <w:rPr/>
        <w:t>All companies are required to successfully complete all Phase I requirements to progress to Phase II or Phase III testing. Phase II and III test schedules will be based on the order that Phase I certified E/Ms contact and coordinate with each utility.  Each Utility will have responsibility to manage test schedules and queues.</w:t>
      </w:r>
    </w:p>
    <w:p>
      <w:pPr>
        <w:pStyle w:val="BodyText1"/>
        <w:numPr>
          <w:ilvl w:val="0"/>
          <w:numId w:val="54"/>
        </w:numPr>
        <w:tabs>
          <w:tab w:val="clear" w:pos="720"/>
        </w:tabs>
        <w:ind w:hanging="270" w:start="720" w:end="0"/>
        <w:rPr>
          <w:u w:val="single"/>
        </w:rPr>
      </w:pPr>
      <w:r>
        <w:rPr/>
        <w:t>PSC Staff will maintain and publish a list of companies that have met Phase I testing requirements.</w:t>
        <w:br/>
      </w:r>
    </w:p>
    <w:p>
      <w:pPr>
        <w:pStyle w:val="Normal"/>
        <w:ind w:hanging="270" w:start="720" w:end="0"/>
        <w:rPr>
          <w:sz w:val="24"/>
          <w:u w:val="single"/>
        </w:rPr>
      </w:pPr>
      <w:r>
        <w:rPr>
          <w:sz w:val="24"/>
          <w:u w:val="single"/>
        </w:rPr>
        <w:t>Phase I Participants:</w:t>
      </w:r>
    </w:p>
    <w:p>
      <w:pPr>
        <w:pStyle w:val="Normal"/>
        <w:numPr>
          <w:ilvl w:val="0"/>
          <w:numId w:val="19"/>
        </w:numPr>
        <w:ind w:hanging="990" w:start="1440" w:end="0"/>
        <w:rPr>
          <w:sz w:val="24"/>
          <w:u w:val="single"/>
        </w:rPr>
      </w:pPr>
      <w:r>
        <w:rPr>
          <w:sz w:val="24"/>
        </w:rPr>
        <w:t>All utilities and E/Ms.</w:t>
      </w:r>
    </w:p>
    <w:p>
      <w:pPr>
        <w:pStyle w:val="Normal"/>
        <w:ind w:firstLine="60" w:start="720" w:end="0"/>
        <w:rPr>
          <w:sz w:val="24"/>
          <w:u w:val="single"/>
        </w:rPr>
      </w:pPr>
      <w:r>
        <w:rPr>
          <w:sz w:val="24"/>
          <w:u w:val="single"/>
        </w:rPr>
      </w:r>
    </w:p>
    <w:p>
      <w:pPr>
        <w:pStyle w:val="Normal"/>
        <w:ind w:hanging="270" w:start="720" w:end="0"/>
        <w:rPr>
          <w:sz w:val="24"/>
          <w:u w:val="single"/>
        </w:rPr>
      </w:pPr>
      <w:r>
        <w:rPr>
          <w:sz w:val="24"/>
          <w:u w:val="single"/>
        </w:rPr>
        <w:t>Entry Criterion:</w:t>
      </w:r>
    </w:p>
    <w:p>
      <w:pPr>
        <w:pStyle w:val="Normal"/>
        <w:numPr>
          <w:ilvl w:val="0"/>
          <w:numId w:val="36"/>
        </w:numPr>
        <w:ind w:hanging="990" w:start="1440" w:end="0"/>
        <w:rPr>
          <w:sz w:val="24"/>
        </w:rPr>
      </w:pPr>
      <w:r>
        <w:rPr>
          <w:sz w:val="24"/>
        </w:rPr>
        <w:t>E/Ms eligible with PSC.</w:t>
      </w:r>
    </w:p>
    <w:p>
      <w:pPr>
        <w:pStyle w:val="Normal"/>
        <w:ind w:firstLine="60" w:start="720" w:end="0"/>
        <w:rPr>
          <w:sz w:val="24"/>
        </w:rPr>
      </w:pPr>
      <w:r>
        <w:rPr>
          <w:sz w:val="24"/>
        </w:rPr>
      </w:r>
    </w:p>
    <w:p>
      <w:pPr>
        <w:pStyle w:val="Normal"/>
        <w:ind w:firstLine="450" w:end="0"/>
        <w:rPr>
          <w:sz w:val="24"/>
          <w:u w:val="single"/>
        </w:rPr>
      </w:pPr>
      <w:r>
        <w:rPr>
          <w:sz w:val="24"/>
          <w:u w:val="single"/>
        </w:rPr>
        <w:t>Exit Criterion:</w:t>
      </w:r>
    </w:p>
    <w:p>
      <w:pPr>
        <w:pStyle w:val="Normal"/>
        <w:numPr>
          <w:ilvl w:val="1"/>
          <w:numId w:val="31"/>
        </w:numPr>
        <w:tabs>
          <w:tab w:val="clear" w:pos="720"/>
        </w:tabs>
        <w:ind w:hanging="270" w:start="720" w:end="0"/>
        <w:rPr>
          <w:sz w:val="24"/>
        </w:rPr>
      </w:pPr>
      <w:r>
        <w:rPr>
          <w:sz w:val="24"/>
        </w:rPr>
        <w:t>Demonstration to and certification by Test Moderator that all required EDI transactions are X12 compliant.</w:t>
      </w:r>
    </w:p>
    <w:p>
      <w:pPr>
        <w:pStyle w:val="Normal"/>
        <w:numPr>
          <w:ilvl w:val="1"/>
          <w:numId w:val="31"/>
        </w:numPr>
        <w:tabs>
          <w:tab w:val="clear" w:pos="720"/>
        </w:tabs>
        <w:ind w:hanging="270" w:start="720" w:end="0"/>
        <w:rPr>
          <w:sz w:val="24"/>
        </w:rPr>
      </w:pPr>
      <w:r>
        <w:rPr>
          <w:sz w:val="24"/>
        </w:rPr>
        <w:t xml:space="preserve">Demonstration of DTM capability to prospective trading partners. </w:t>
        <w:br/>
      </w:r>
    </w:p>
    <w:p>
      <w:pPr>
        <w:pStyle w:val="Normal"/>
        <w:ind w:start="1080" w:end="0"/>
        <w:rPr>
          <w:sz w:val="24"/>
        </w:rPr>
      </w:pPr>
      <w:r>
        <w:rPr>
          <w:sz w:val="24"/>
        </w:rPr>
      </w:r>
    </w:p>
    <w:p>
      <w:pPr>
        <w:pStyle w:val="Heading7"/>
        <w:ind w:hanging="0" w:start="0"/>
        <w:rPr/>
      </w:pPr>
      <w:r>
        <w:rPr/>
        <w:t>Phase II – Verification of Utility EDI Readiness</w:t>
      </w:r>
    </w:p>
    <w:p>
      <w:pPr>
        <w:pStyle w:val="Normal"/>
        <w:ind w:start="360" w:end="0"/>
        <w:rPr/>
      </w:pPr>
      <w:r>
        <w:rPr/>
      </w:r>
    </w:p>
    <w:p>
      <w:pPr>
        <w:pStyle w:val="Normal"/>
        <w:ind w:hanging="270" w:start="720" w:end="0"/>
        <w:rPr/>
      </w:pPr>
      <w:r>
        <w:rPr>
          <w:sz w:val="24"/>
          <w:u w:val="single"/>
        </w:rPr>
        <w:t>Description:</w:t>
      </w:r>
      <w:r>
        <w:rPr>
          <w:sz w:val="24"/>
        </w:rPr>
        <w:t xml:space="preserve"> </w:t>
      </w:r>
    </w:p>
    <w:p>
      <w:pPr>
        <w:pStyle w:val="Normal"/>
        <w:numPr>
          <w:ilvl w:val="0"/>
          <w:numId w:val="25"/>
        </w:numPr>
        <w:ind w:hanging="270" w:start="720" w:end="0"/>
        <w:rPr>
          <w:sz w:val="24"/>
        </w:rPr>
      </w:pPr>
      <w:r>
        <w:rPr>
          <w:sz w:val="24"/>
        </w:rPr>
        <w:t>Testing between Phase I certified New York utilities and sufficiently experienced, volunteer E/Ms (also Phase I certified) to ensure utility systems are prepared for EDI production environment.</w:t>
      </w:r>
    </w:p>
    <w:p>
      <w:pPr>
        <w:pStyle w:val="Normal"/>
        <w:numPr>
          <w:ilvl w:val="0"/>
          <w:numId w:val="25"/>
        </w:numPr>
        <w:ind w:hanging="270" w:start="720" w:end="0"/>
        <w:rPr>
          <w:sz w:val="24"/>
        </w:rPr>
      </w:pPr>
      <w:r>
        <w:rPr>
          <w:sz w:val="24"/>
        </w:rPr>
        <w:t xml:space="preserve">Testing of transactions for all required business scenarios </w:t>
      </w:r>
    </w:p>
    <w:p>
      <w:pPr>
        <w:pStyle w:val="Normal"/>
        <w:numPr>
          <w:ilvl w:val="0"/>
          <w:numId w:val="25"/>
        </w:numPr>
        <w:ind w:hanging="270" w:start="720" w:end="0"/>
        <w:rPr>
          <w:sz w:val="24"/>
        </w:rPr>
      </w:pPr>
      <w:r>
        <w:rPr>
          <w:sz w:val="24"/>
        </w:rPr>
        <w:t>Volume testing of requisite transactions.</w:t>
      </w:r>
    </w:p>
    <w:p>
      <w:pPr>
        <w:pStyle w:val="Normal"/>
        <w:numPr>
          <w:ilvl w:val="0"/>
          <w:numId w:val="25"/>
        </w:numPr>
        <w:ind w:hanging="270" w:start="720" w:end="0"/>
        <w:rPr>
          <w:sz w:val="24"/>
        </w:rPr>
      </w:pPr>
      <w:r>
        <w:rPr>
          <w:sz w:val="24"/>
        </w:rPr>
        <w:t>Volume testing will be done in incremental stages from a low number of transactions to the maximum.</w:t>
      </w:r>
    </w:p>
    <w:p>
      <w:pPr>
        <w:pStyle w:val="Normal"/>
        <w:numPr>
          <w:ilvl w:val="0"/>
          <w:numId w:val="25"/>
        </w:numPr>
        <w:ind w:hanging="270" w:start="720" w:end="0"/>
        <w:rPr>
          <w:sz w:val="24"/>
        </w:rPr>
      </w:pPr>
      <w:r>
        <w:rPr>
          <w:sz w:val="24"/>
        </w:rPr>
        <w:t>PSC Staff will coordinate Phase II testing schedules and provide dispute resolution as needed.</w:t>
      </w:r>
    </w:p>
    <w:p>
      <w:pPr>
        <w:pStyle w:val="Normal"/>
        <w:ind w:start="1080" w:end="0"/>
        <w:rPr>
          <w:sz w:val="24"/>
        </w:rPr>
      </w:pPr>
      <w:r>
        <w:rPr>
          <w:sz w:val="24"/>
        </w:rPr>
      </w:r>
    </w:p>
    <w:p>
      <w:pPr>
        <w:pStyle w:val="Normal"/>
        <w:ind w:hanging="270" w:start="720" w:end="0"/>
        <w:rPr>
          <w:sz w:val="24"/>
          <w:u w:val="single"/>
        </w:rPr>
      </w:pPr>
      <w:r>
        <w:rPr>
          <w:sz w:val="24"/>
          <w:u w:val="single"/>
        </w:rPr>
        <w:t>Participants:</w:t>
      </w:r>
    </w:p>
    <w:p>
      <w:pPr>
        <w:pStyle w:val="Normal"/>
        <w:numPr>
          <w:ilvl w:val="0"/>
          <w:numId w:val="58"/>
        </w:numPr>
        <w:ind w:hanging="270" w:start="720" w:end="0"/>
        <w:rPr>
          <w:sz w:val="24"/>
          <w:u w:val="single"/>
        </w:rPr>
      </w:pPr>
      <w:r>
        <w:rPr>
          <w:sz w:val="24"/>
        </w:rPr>
        <w:t>All Phase I certified utilities and several experienced, Phase I certified E/Ms.</w:t>
        <w:br/>
      </w:r>
    </w:p>
    <w:p>
      <w:pPr>
        <w:pStyle w:val="Normal"/>
        <w:ind w:hanging="270" w:start="720" w:end="0"/>
        <w:rPr>
          <w:sz w:val="24"/>
          <w:u w:val="single"/>
        </w:rPr>
      </w:pPr>
      <w:r>
        <w:rPr>
          <w:sz w:val="24"/>
          <w:u w:val="single"/>
        </w:rPr>
        <w:t>Entry Criterion:</w:t>
      </w:r>
    </w:p>
    <w:p>
      <w:pPr>
        <w:pStyle w:val="Normal"/>
        <w:numPr>
          <w:ilvl w:val="0"/>
          <w:numId w:val="37"/>
        </w:numPr>
        <w:tabs>
          <w:tab w:val="clear" w:pos="720"/>
        </w:tabs>
        <w:ind w:hanging="270" w:start="720" w:end="0"/>
        <w:rPr/>
      </w:pPr>
      <w:r>
        <w:rPr>
          <w:sz w:val="24"/>
        </w:rPr>
        <w:t>Phase I certification for all utilities &amp; E/Ms.</w:t>
      </w:r>
    </w:p>
    <w:p>
      <w:pPr>
        <w:pStyle w:val="Normal"/>
        <w:ind w:hanging="270" w:start="720" w:end="0"/>
        <w:rPr/>
      </w:pPr>
      <w:r>
        <w:rPr/>
      </w:r>
    </w:p>
    <w:p>
      <w:pPr>
        <w:pStyle w:val="Normal"/>
        <w:ind w:hanging="270" w:start="720" w:end="0"/>
        <w:rPr/>
      </w:pPr>
      <w:r>
        <w:rPr>
          <w:sz w:val="24"/>
          <w:u w:val="single"/>
        </w:rPr>
        <w:t>Exit Criterion:</w:t>
      </w:r>
      <w:r>
        <w:rPr>
          <w:sz w:val="24"/>
        </w:rPr>
        <w:t xml:space="preserve"> </w:t>
      </w:r>
    </w:p>
    <w:p>
      <w:pPr>
        <w:pStyle w:val="Normal"/>
        <w:numPr>
          <w:ilvl w:val="1"/>
          <w:numId w:val="31"/>
        </w:numPr>
        <w:tabs>
          <w:tab w:val="clear" w:pos="720"/>
        </w:tabs>
        <w:ind w:hanging="270" w:start="720" w:end="0"/>
        <w:rPr>
          <w:sz w:val="24"/>
        </w:rPr>
      </w:pPr>
      <w:r>
        <w:rPr>
          <w:sz w:val="24"/>
        </w:rPr>
        <w:t>Demonstration of utility and E/M readiness through successful fulfillment of Phase II testing scenarios.</w:t>
        <w:br/>
      </w:r>
    </w:p>
    <w:p>
      <w:pPr>
        <w:pStyle w:val="Normal"/>
        <w:rPr>
          <w:sz w:val="24"/>
        </w:rPr>
      </w:pPr>
      <w:r>
        <w:rPr>
          <w:sz w:val="24"/>
        </w:rPr>
      </w:r>
    </w:p>
    <w:p>
      <w:pPr>
        <w:pStyle w:val="Normal"/>
        <w:rPr>
          <w:b/>
          <w:sz w:val="28"/>
        </w:rPr>
      </w:pPr>
      <w:r>
        <w:rPr>
          <w:b/>
          <w:sz w:val="28"/>
        </w:rPr>
        <w:t>Phase III – E/M Certification Process</w:t>
        <w:br/>
      </w:r>
    </w:p>
    <w:p>
      <w:pPr>
        <w:pStyle w:val="Normal"/>
        <w:ind w:hanging="270" w:start="720" w:end="0"/>
        <w:rPr/>
      </w:pPr>
      <w:r>
        <w:rPr>
          <w:sz w:val="24"/>
          <w:u w:val="single"/>
        </w:rPr>
        <w:t>Description:</w:t>
      </w:r>
      <w:r>
        <w:rPr>
          <w:sz w:val="24"/>
        </w:rPr>
        <w:t xml:space="preserve"> </w:t>
      </w:r>
    </w:p>
    <w:p>
      <w:pPr>
        <w:pStyle w:val="Normal"/>
        <w:numPr>
          <w:ilvl w:val="0"/>
          <w:numId w:val="25"/>
        </w:numPr>
        <w:ind w:hanging="270" w:start="720" w:end="0"/>
        <w:rPr>
          <w:sz w:val="24"/>
        </w:rPr>
      </w:pPr>
      <w:r>
        <w:rPr>
          <w:sz w:val="24"/>
        </w:rPr>
        <w:t>Testing between Phase I certified New York utilities and E/Ms to ensure each E/M’s system is prepared for EDI production environment.</w:t>
      </w:r>
    </w:p>
    <w:p>
      <w:pPr>
        <w:pStyle w:val="Normal"/>
        <w:numPr>
          <w:ilvl w:val="0"/>
          <w:numId w:val="25"/>
        </w:numPr>
        <w:ind w:hanging="270" w:start="720" w:end="0"/>
        <w:rPr>
          <w:sz w:val="24"/>
        </w:rPr>
      </w:pPr>
      <w:r>
        <w:rPr>
          <w:sz w:val="24"/>
        </w:rPr>
        <w:t>Testing of transactions for all required business scenarios (reference: NY EDI Testing Scenarios spreadsheet, Phase III Test Scenarios).</w:t>
      </w:r>
    </w:p>
    <w:p>
      <w:pPr>
        <w:pStyle w:val="Normal"/>
        <w:numPr>
          <w:ilvl w:val="0"/>
          <w:numId w:val="25"/>
        </w:numPr>
        <w:ind w:hanging="270" w:start="720" w:end="0"/>
        <w:rPr>
          <w:sz w:val="24"/>
        </w:rPr>
      </w:pPr>
      <w:r>
        <w:rPr>
          <w:sz w:val="24"/>
        </w:rPr>
        <w:t>Volume testing of requisite transactions.</w:t>
      </w:r>
    </w:p>
    <w:p>
      <w:pPr>
        <w:pStyle w:val="Normal"/>
        <w:numPr>
          <w:ilvl w:val="0"/>
          <w:numId w:val="25"/>
        </w:numPr>
        <w:ind w:hanging="270" w:start="720" w:end="0"/>
        <w:rPr>
          <w:sz w:val="24"/>
        </w:rPr>
      </w:pPr>
      <w:r>
        <w:rPr>
          <w:sz w:val="24"/>
        </w:rPr>
        <w:t>Volume testing will be done in incremental stages from a low number of transactions to the maximum.</w:t>
      </w:r>
    </w:p>
    <w:p>
      <w:pPr>
        <w:pStyle w:val="Normal"/>
        <w:numPr>
          <w:ilvl w:val="0"/>
          <w:numId w:val="56"/>
        </w:numPr>
        <w:ind w:hanging="270" w:start="720" w:end="0"/>
        <w:rPr>
          <w:sz w:val="24"/>
        </w:rPr>
      </w:pPr>
      <w:r>
        <w:rPr>
          <w:sz w:val="24"/>
        </w:rPr>
        <w:t>Eligible E/Ms will contact the utility to be assigned to a position in a testing queue.</w:t>
      </w:r>
    </w:p>
    <w:p>
      <w:pPr>
        <w:pStyle w:val="Normal"/>
        <w:numPr>
          <w:ilvl w:val="0"/>
          <w:numId w:val="56"/>
        </w:numPr>
        <w:ind w:hanging="270" w:start="720" w:end="0"/>
        <w:rPr>
          <w:sz w:val="24"/>
        </w:rPr>
      </w:pPr>
      <w:r>
        <w:rPr>
          <w:sz w:val="24"/>
        </w:rPr>
        <w:t>PSC will grant E/M EDI certification based upon successful trading partner testing and consummation of trading partner agreements between companies.</w:t>
      </w:r>
    </w:p>
    <w:p>
      <w:pPr>
        <w:pStyle w:val="Normal"/>
        <w:numPr>
          <w:ilvl w:val="0"/>
          <w:numId w:val="56"/>
        </w:numPr>
        <w:ind w:hanging="270" w:start="720" w:end="0"/>
        <w:rPr>
          <w:sz w:val="24"/>
        </w:rPr>
      </w:pPr>
      <w:r>
        <w:rPr>
          <w:sz w:val="24"/>
        </w:rPr>
        <w:t>Disputes may be escalated to the PSC for resolution.</w:t>
        <w:br/>
      </w:r>
    </w:p>
    <w:p>
      <w:pPr>
        <w:pStyle w:val="Normal"/>
        <w:ind w:hanging="270" w:start="720" w:end="0"/>
        <w:rPr>
          <w:sz w:val="24"/>
        </w:rPr>
      </w:pPr>
      <w:r>
        <w:rPr>
          <w:sz w:val="24"/>
          <w:u w:val="single"/>
        </w:rPr>
        <w:t>Participants:</w:t>
      </w:r>
    </w:p>
    <w:p>
      <w:pPr>
        <w:pStyle w:val="Normal"/>
        <w:numPr>
          <w:ilvl w:val="0"/>
          <w:numId w:val="16"/>
        </w:numPr>
        <w:tabs>
          <w:tab w:val="clear" w:pos="720"/>
        </w:tabs>
        <w:ind w:hanging="270" w:start="720" w:end="0"/>
        <w:rPr>
          <w:sz w:val="24"/>
          <w:u w:val="single"/>
        </w:rPr>
      </w:pPr>
      <w:r>
        <w:rPr>
          <w:sz w:val="24"/>
        </w:rPr>
        <w:t>All utilities and all E/Ms (successful Phase II E/M’s exempt from any Phase II test scenarios required for Phase III certification).</w:t>
      </w:r>
    </w:p>
    <w:p>
      <w:pPr>
        <w:pStyle w:val="Normal"/>
        <w:ind w:hanging="270" w:end="0"/>
        <w:rPr>
          <w:sz w:val="24"/>
          <w:u w:val="single"/>
        </w:rPr>
      </w:pPr>
      <w:r>
        <w:rPr>
          <w:sz w:val="24"/>
          <w:u w:val="single"/>
        </w:rPr>
      </w:r>
    </w:p>
    <w:p>
      <w:pPr>
        <w:pStyle w:val="Normal"/>
        <w:ind w:hanging="270" w:start="720" w:end="0"/>
        <w:rPr>
          <w:sz w:val="24"/>
          <w:u w:val="single"/>
        </w:rPr>
      </w:pPr>
      <w:r>
        <w:rPr>
          <w:sz w:val="24"/>
          <w:u w:val="single"/>
        </w:rPr>
        <w:t>Entry Criterion:</w:t>
      </w:r>
    </w:p>
    <w:p>
      <w:pPr>
        <w:pStyle w:val="Normal"/>
        <w:numPr>
          <w:ilvl w:val="0"/>
          <w:numId w:val="23"/>
        </w:numPr>
        <w:tabs>
          <w:tab w:val="clear" w:pos="720"/>
        </w:tabs>
        <w:ind w:hanging="270" w:start="720" w:end="0"/>
        <w:rPr>
          <w:sz w:val="24"/>
        </w:rPr>
      </w:pPr>
      <w:r>
        <w:rPr>
          <w:sz w:val="24"/>
        </w:rPr>
        <w:t>Phase I certification.</w:t>
        <w:br/>
      </w:r>
    </w:p>
    <w:p>
      <w:pPr>
        <w:pStyle w:val="Normal"/>
        <w:ind w:hanging="270" w:start="720" w:end="0"/>
        <w:rPr/>
      </w:pPr>
      <w:r>
        <w:rPr>
          <w:sz w:val="24"/>
          <w:u w:val="single"/>
        </w:rPr>
        <w:t>Exit Criterion</w:t>
      </w:r>
      <w:r>
        <w:rPr>
          <w:sz w:val="24"/>
        </w:rPr>
        <w:t>:</w:t>
      </w:r>
    </w:p>
    <w:p>
      <w:pPr>
        <w:pStyle w:val="Normal"/>
        <w:numPr>
          <w:ilvl w:val="0"/>
          <w:numId w:val="11"/>
        </w:numPr>
        <w:tabs>
          <w:tab w:val="clear" w:pos="720"/>
        </w:tabs>
        <w:ind w:hanging="270" w:start="720" w:end="0"/>
        <w:rPr>
          <w:sz w:val="24"/>
        </w:rPr>
      </w:pPr>
      <w:r>
        <w:rPr>
          <w:sz w:val="24"/>
        </w:rPr>
        <w:t>Demonstration of E/M readiness through successful fulfillment of Phase III testing scenarios with the utility.</w:t>
      </w:r>
    </w:p>
    <w:p>
      <w:pPr>
        <w:pStyle w:val="Normal"/>
        <w:numPr>
          <w:ilvl w:val="0"/>
          <w:numId w:val="11"/>
        </w:numPr>
        <w:tabs>
          <w:tab w:val="clear" w:pos="720"/>
        </w:tabs>
        <w:ind w:hanging="270" w:start="720" w:end="0"/>
        <w:rPr>
          <w:sz w:val="24"/>
        </w:rPr>
      </w:pPr>
      <w:r>
        <w:rPr>
          <w:sz w:val="24"/>
        </w:rPr>
        <w:t>Consummation of trading partner agreement between E/M and utility.</w:t>
      </w:r>
    </w:p>
    <w:p>
      <w:pPr>
        <w:pStyle w:val="Normal"/>
        <w:numPr>
          <w:ilvl w:val="0"/>
          <w:numId w:val="56"/>
        </w:numPr>
        <w:ind w:hanging="270" w:start="720" w:end="0"/>
        <w:rPr>
          <w:sz w:val="24"/>
        </w:rPr>
      </w:pPr>
      <w:r>
        <w:rPr>
          <w:sz w:val="24"/>
        </w:rPr>
        <w:t xml:space="preserve">PSC certification based upon successful trading partner testing and consummation of trading partner agreement between companies. </w:t>
        <w:br/>
      </w:r>
    </w:p>
    <w:p>
      <w:pPr>
        <w:pStyle w:val="Normal"/>
        <w:ind w:start="1080" w:end="0"/>
        <w:rPr>
          <w:sz w:val="24"/>
        </w:rPr>
      </w:pPr>
      <w:r>
        <w:rPr>
          <w:sz w:val="24"/>
        </w:rPr>
      </w:r>
    </w:p>
    <w:p>
      <w:pPr>
        <w:pStyle w:val="Normal"/>
        <w:ind w:start="1080" w:end="0"/>
        <w:rPr/>
      </w:pPr>
      <w:r>
        <w:rPr/>
      </w:r>
    </w:p>
    <w:p>
      <w:pPr>
        <w:pStyle w:val="Heading5"/>
        <w:numPr>
          <w:ilvl w:val="0"/>
          <w:numId w:val="10"/>
        </w:numPr>
        <w:rPr>
          <w:sz w:val="28"/>
        </w:rPr>
      </w:pPr>
      <w:r>
        <w:rPr>
          <w:sz w:val="28"/>
        </w:rPr>
        <w:t>TEST SCENARIOS</w:t>
      </w:r>
    </w:p>
    <w:p>
      <w:pPr>
        <w:pStyle w:val="Normal"/>
        <w:rPr>
          <w:sz w:val="28"/>
        </w:rPr>
      </w:pPr>
      <w:r>
        <w:rPr>
          <w:sz w:val="28"/>
        </w:rPr>
      </w:r>
    </w:p>
    <w:p>
      <w:pPr>
        <w:pStyle w:val="Normal"/>
        <w:numPr>
          <w:ilvl w:val="0"/>
          <w:numId w:val="33"/>
        </w:numPr>
        <w:tabs>
          <w:tab w:val="left" w:pos="720" w:leader="none"/>
          <w:tab w:val="left" w:pos="7200" w:leader="none"/>
        </w:tabs>
        <w:ind w:hanging="630" w:start="1080" w:end="0"/>
        <w:rPr>
          <w:sz w:val="24"/>
        </w:rPr>
      </w:pPr>
      <w:r>
        <w:rPr>
          <w:sz w:val="24"/>
        </w:rPr>
        <w:t>To be developed.</w:t>
      </w:r>
    </w:p>
    <w:p>
      <w:pPr>
        <w:pStyle w:val="Normal"/>
        <w:rPr>
          <w:sz w:val="24"/>
        </w:rPr>
      </w:pPr>
      <w:r>
        <w:rPr>
          <w:sz w:val="24"/>
        </w:rPr>
      </w:r>
    </w:p>
    <w:p>
      <w:pPr>
        <w:pStyle w:val="Normal"/>
        <w:rPr/>
      </w:pPr>
      <w:r>
        <w:rPr/>
      </w:r>
    </w:p>
    <w:p>
      <w:pPr>
        <w:pStyle w:val="Normal"/>
        <w:numPr>
          <w:ilvl w:val="0"/>
          <w:numId w:val="10"/>
        </w:numPr>
        <w:rPr>
          <w:b/>
          <w:sz w:val="28"/>
        </w:rPr>
      </w:pPr>
      <w:r>
        <w:rPr>
          <w:b/>
          <w:sz w:val="28"/>
        </w:rPr>
        <w:t>TRADING PARTNER PROFILE INFORMATION</w:t>
      </w:r>
    </w:p>
    <w:p>
      <w:pPr>
        <w:pStyle w:val="Normal"/>
        <w:rPr>
          <w:b/>
          <w:sz w:val="28"/>
        </w:rPr>
      </w:pPr>
      <w:r>
        <w:rPr>
          <w:b/>
          <w:sz w:val="28"/>
        </w:rPr>
      </w:r>
    </w:p>
    <w:p>
      <w:pPr>
        <w:pStyle w:val="BodyTextBullet"/>
        <w:numPr>
          <w:ilvl w:val="0"/>
          <w:numId w:val="40"/>
        </w:numPr>
        <w:spacing w:before="0" w:after="0"/>
        <w:ind w:hanging="270" w:start="720" w:end="0"/>
        <w:rPr/>
      </w:pPr>
      <w:r>
        <w:rPr/>
        <w:t>Companies may voluntarily exchange trading partner profile information in support of EDI testing and implementation.</w:t>
      </w:r>
    </w:p>
    <w:p>
      <w:pPr>
        <w:pStyle w:val="Heading2"/>
        <w:ind w:hanging="270" w:start="0" w:end="0"/>
        <w:rPr/>
      </w:pPr>
      <w:r>
        <w:rPr/>
      </w:r>
      <w:r>
        <w:br w:type="page"/>
      </w:r>
    </w:p>
    <w:p>
      <w:pPr>
        <w:pStyle w:val="Heading2"/>
        <w:ind w:hanging="2070" w:start="2070" w:end="0"/>
        <w:rPr>
          <w:b w:val="false"/>
          <w:i/>
          <w:i/>
        </w:rPr>
      </w:pPr>
      <w:bookmarkStart w:id="17" w:name="__RefHeading___Toc504980678"/>
      <w:r>
        <w:rPr/>
        <w:t>Appendix B: Transaction Processing Architecture</w:t>
      </w:r>
      <w:bookmarkEnd w:id="17"/>
      <w:r>
        <w:rPr/>
        <w:t xml:space="preserve"> </w:t>
        <w:br/>
      </w:r>
    </w:p>
    <w:p>
      <w:pPr>
        <w:pStyle w:val="Heading3"/>
        <w:ind w:hanging="0" w:start="0"/>
        <w:rPr>
          <w:b w:val="false"/>
          <w:i/>
          <w:i/>
          <w:lang w:val="en-CA"/>
        </w:rPr>
      </w:pPr>
      <w:r>
        <w:rPr>
          <w:b w:val="false"/>
          <w:i/>
          <w:lang w:val="en-CA"/>
        </w:rPr>
        <mc:AlternateContent>
          <mc:Choice Requires="wps">
            <w:drawing>
              <wp:anchor behindDoc="0" distT="0" distB="0" distL="114935" distR="114935" simplePos="0" locked="0" layoutInCell="1" allowOverlap="1" relativeHeight="44">
                <wp:simplePos x="0" y="0"/>
                <wp:positionH relativeFrom="column">
                  <wp:posOffset>-45720</wp:posOffset>
                </wp:positionH>
                <wp:positionV relativeFrom="paragraph">
                  <wp:posOffset>121920</wp:posOffset>
                </wp:positionV>
                <wp:extent cx="5897880" cy="0"/>
                <wp:effectExtent l="0" t="19050" r="0" b="19050"/>
                <wp:wrapNone/>
                <wp:docPr id="2" name=""/>
                <a:graphic xmlns:a="http://schemas.openxmlformats.org/drawingml/2006/main">
                  <a:graphicData uri="http://schemas.microsoft.com/office/word/2010/wordprocessingShape">
                    <wps:wsp>
                      <wps:cNvSpPr/>
                      <wps:spPr>
                        <a:xfrm>
                          <a:off x="0" y="0"/>
                          <a:ext cx="58978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6pt,9.6pt" to="460.75pt,9.6pt" stroked="t" o:allowincell="f" style="position:absolute">
                <v:stroke color="black" weight="38160" joinstyle="miter" endcap="flat"/>
                <v:fill o:detectmouseclick="t" on="false"/>
                <w10:wrap type="none"/>
              </v:line>
            </w:pict>
          </mc:Fallback>
        </mc:AlternateContent>
      </w:r>
    </w:p>
    <w:p>
      <w:pPr>
        <w:pStyle w:val="Heading4"/>
        <w:ind w:hanging="0" w:start="0"/>
        <w:rPr>
          <w:sz w:val="32"/>
        </w:rPr>
      </w:pPr>
      <w:r>
        <w:rPr>
          <w:sz w:val="32"/>
        </w:rPr>
        <w:t>I. Overview</w:t>
      </w:r>
    </w:p>
    <w:p>
      <w:pPr>
        <w:pStyle w:val="Normal"/>
        <w:rPr>
          <w:sz w:val="32"/>
          <w:lang w:val="en-CA"/>
        </w:rPr>
      </w:pPr>
      <w:r>
        <w:rPr>
          <w:sz w:val="32"/>
          <w:lang w:val="en-CA"/>
        </w:rPr>
        <mc:AlternateContent>
          <mc:Choice Requires="wps">
            <w:drawing>
              <wp:anchor behindDoc="0" distT="0" distB="0" distL="114935" distR="114935" simplePos="0" locked="0" layoutInCell="1" allowOverlap="1" relativeHeight="59">
                <wp:simplePos x="0" y="0"/>
                <wp:positionH relativeFrom="column">
                  <wp:posOffset>4394835</wp:posOffset>
                </wp:positionH>
                <wp:positionV relativeFrom="paragraph">
                  <wp:posOffset>3018155</wp:posOffset>
                </wp:positionV>
                <wp:extent cx="411480" cy="0"/>
                <wp:effectExtent l="0" t="19050" r="0" b="19050"/>
                <wp:wrapNone/>
                <wp:docPr id="3" name=""/>
                <a:graphic xmlns:a="http://schemas.openxmlformats.org/drawingml/2006/main">
                  <a:graphicData uri="http://schemas.microsoft.com/office/word/2010/wordprocessingShape">
                    <wps:wsp>
                      <wps:cNvSpPr/>
                      <wps:spPr>
                        <a:xfrm>
                          <a:off x="0" y="0"/>
                          <a:ext cx="411480" cy="0"/>
                        </a:xfrm>
                        <a:prstGeom prst="line">
                          <a:avLst/>
                        </a:prstGeom>
                        <a:ln w="38160">
                          <a:solidFill>
                            <a:srgbClr val="800080"/>
                          </a:solidFill>
                          <a:miter/>
                        </a:ln>
                      </wps:spPr>
                      <wps:style>
                        <a:lnRef idx="0"/>
                        <a:fillRef idx="0"/>
                        <a:effectRef idx="0"/>
                        <a:fontRef idx="minor"/>
                      </wps:style>
                      <wps:bodyPr/>
                    </wps:wsp>
                  </a:graphicData>
                </a:graphic>
              </wp:anchor>
            </w:drawing>
          </mc:Choice>
          <mc:Fallback>
            <w:pict>
              <v:line id="shape_0" from="346.05pt,237.65pt" to="378.4pt,237.65pt" stroked="t" o:allowincell="f" style="position:absolute">
                <v:stroke color="purple"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4404360</wp:posOffset>
                </wp:positionH>
                <wp:positionV relativeFrom="paragraph">
                  <wp:posOffset>3149600</wp:posOffset>
                </wp:positionV>
                <wp:extent cx="396240" cy="0"/>
                <wp:effectExtent l="0" t="19050" r="0" b="19050"/>
                <wp:wrapNone/>
                <wp:docPr id="4" name=""/>
                <a:graphic xmlns:a="http://schemas.openxmlformats.org/drawingml/2006/main">
                  <a:graphicData uri="http://schemas.microsoft.com/office/word/2010/wordprocessingShape">
                    <wps:wsp>
                      <wps:cNvSpPr/>
                      <wps:spPr>
                        <a:xfrm>
                          <a:off x="0" y="0"/>
                          <a:ext cx="396360" cy="0"/>
                        </a:xfrm>
                        <a:prstGeom prst="line">
                          <a:avLst/>
                        </a:prstGeom>
                        <a:ln w="38160">
                          <a:solidFill>
                            <a:srgbClr val="ff0000"/>
                          </a:solidFill>
                          <a:prstDash val="dash"/>
                          <a:miter/>
                        </a:ln>
                      </wps:spPr>
                      <wps:style>
                        <a:lnRef idx="0"/>
                        <a:fillRef idx="0"/>
                        <a:effectRef idx="0"/>
                        <a:fontRef idx="minor"/>
                      </wps:style>
                      <wps:bodyPr/>
                    </wps:wsp>
                  </a:graphicData>
                </a:graphic>
              </wp:anchor>
            </w:drawing>
          </mc:Choice>
          <mc:Fallback>
            <w:pict>
              <v:line id="shape_0" from="346.8pt,248pt" to="377.95pt,248pt" stroked="t" o:allowincell="f" style="position:absolute">
                <v:stroke color="red" weight="38160" dashstyle="dash"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3">
                <wp:simplePos x="0" y="0"/>
                <wp:positionH relativeFrom="column">
                  <wp:posOffset>-4445</wp:posOffset>
                </wp:positionH>
                <wp:positionV relativeFrom="paragraph">
                  <wp:posOffset>125095</wp:posOffset>
                </wp:positionV>
                <wp:extent cx="3760470" cy="281940"/>
                <wp:effectExtent l="0" t="0" r="0" b="0"/>
                <wp:wrapNone/>
                <wp:docPr id="5" name="Frame2"/>
                <a:graphic xmlns:a="http://schemas.openxmlformats.org/drawingml/2006/main">
                  <a:graphicData uri="http://schemas.microsoft.com/office/word/2010/wordprocessingShape">
                    <wps:wsp>
                      <wps:cNvSpPr txBox="1"/>
                      <wps:spPr>
                        <a:xfrm>
                          <a:off x="0" y="0"/>
                          <a:ext cx="3760470" cy="281940"/>
                        </a:xfrm>
                        <a:prstGeom prst="rect"/>
                        <a:solidFill>
                          <a:srgbClr val="FFFFFF"/>
                        </a:solidFill>
                        <a:ln w="9525">
                          <a:solidFill>
                            <a:srgbClr val="000000"/>
                          </a:solidFill>
                        </a:ln>
                      </wps:spPr>
                      <wps:txbx>
                        <w:txbxContent>
                          <w:p>
                            <w:pPr>
                              <w:pStyle w:val="BodyText3"/>
                              <w:rPr/>
                            </w:pPr>
                            <w:r>
                              <w:rPr/>
                              <w:t>Figure 1. Generic transaction flow diagram</w:t>
                            </w:r>
                          </w:p>
                        </w:txbxContent>
                      </wps:txbx>
                      <wps:bodyPr anchor="t" lIns="91440" tIns="45720" rIns="91440" bIns="45720">
                        <a:noAutofit/>
                      </wps:bodyPr>
                    </wps:wsp>
                  </a:graphicData>
                </a:graphic>
              </wp:anchor>
            </w:drawing>
          </mc:Choice>
          <mc:Fallback>
            <w:pict>
              <v:rect fillcolor="#FFFFFF" strokecolor="#000000" strokeweight="0pt" style="position:absolute;rotation:-0;width:296.1pt;height:22.2pt;mso-wrap-distance-left:9.05pt;mso-wrap-distance-right:9.05pt;mso-wrap-distance-top:0pt;mso-wrap-distance-bottom:0pt;margin-top:9.85pt;mso-position-vertical-relative:text;margin-left:-0.35pt;mso-position-horizontal-relative:text">
                <v:textbox>
                  <w:txbxContent>
                    <w:p>
                      <w:pPr>
                        <w:pStyle w:val="BodyText3"/>
                        <w:rPr/>
                      </w:pPr>
                      <w:r>
                        <w:rPr/>
                        <w:t>Figure 1. Generic transaction flow diagram</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4293235</wp:posOffset>
                </wp:positionH>
                <wp:positionV relativeFrom="paragraph">
                  <wp:posOffset>2899410</wp:posOffset>
                </wp:positionV>
                <wp:extent cx="1292860" cy="515620"/>
                <wp:effectExtent l="0" t="0" r="0" b="0"/>
                <wp:wrapNone/>
                <wp:docPr id="6" name="Frame1"/>
                <a:graphic xmlns:a="http://schemas.openxmlformats.org/drawingml/2006/main">
                  <a:graphicData uri="http://schemas.microsoft.com/office/word/2010/wordprocessingShape">
                    <wps:wsp>
                      <wps:cNvSpPr txBox="1"/>
                      <wps:spPr>
                        <a:xfrm>
                          <a:off x="0" y="0"/>
                          <a:ext cx="1292860" cy="515620"/>
                        </a:xfrm>
                        <a:prstGeom prst="rect"/>
                        <a:solidFill>
                          <a:srgbClr val="FFFFFF"/>
                        </a:solidFill>
                        <a:ln w="9525">
                          <a:solidFill>
                            <a:srgbClr val="000000"/>
                          </a:solidFill>
                        </a:ln>
                      </wps:spPr>
                      <wps:txbx>
                        <w:txbxContent>
                          <w:p>
                            <w:pPr>
                              <w:pStyle w:val="Normal"/>
                              <w:ind w:firstLine="720" w:end="0"/>
                              <w:rPr>
                                <w:b/>
                                <w:sz w:val="18"/>
                              </w:rPr>
                            </w:pPr>
                            <w:r>
                              <w:rPr>
                                <w:b/>
                                <w:sz w:val="18"/>
                              </w:rPr>
                              <w:t>Required</w:t>
                            </w:r>
                          </w:p>
                          <w:p>
                            <w:pPr>
                              <w:pStyle w:val="BodyTextIndent2"/>
                              <w:rPr/>
                            </w:pPr>
                            <w:r>
                              <w:rPr/>
                              <w:t>Business conditional</w:t>
                            </w:r>
                          </w:p>
                        </w:txbxContent>
                      </wps:txbx>
                      <wps:bodyPr anchor="t" lIns="91440" tIns="45720" rIns="91440" bIns="45720">
                        <a:noAutofit/>
                      </wps:bodyPr>
                    </wps:wsp>
                  </a:graphicData>
                </a:graphic>
              </wp:anchor>
            </w:drawing>
          </mc:Choice>
          <mc:Fallback>
            <w:pict>
              <v:rect fillcolor="#FFFFFF" strokecolor="#000000" strokeweight="0pt" style="position:absolute;rotation:-0;width:101.8pt;height:40.6pt;mso-wrap-distance-left:9.05pt;mso-wrap-distance-right:9.05pt;mso-wrap-distance-top:0pt;mso-wrap-distance-bottom:0pt;margin-top:228.3pt;mso-position-vertical-relative:text;margin-left:338.05pt;mso-position-horizontal-relative:text">
                <v:textbox>
                  <w:txbxContent>
                    <w:p>
                      <w:pPr>
                        <w:pStyle w:val="Normal"/>
                        <w:ind w:firstLine="720" w:end="0"/>
                        <w:rPr>
                          <w:b/>
                          <w:sz w:val="18"/>
                        </w:rPr>
                      </w:pPr>
                      <w:r>
                        <w:rPr>
                          <w:b/>
                          <w:sz w:val="18"/>
                        </w:rPr>
                        <w:t>Required</w:t>
                      </w:r>
                    </w:p>
                    <w:p>
                      <w:pPr>
                        <w:pStyle w:val="BodyTextIndent2"/>
                        <w:rPr/>
                      </w:pPr>
                      <w:r>
                        <w:rPr/>
                        <w:t>Business conditional</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47">
                <wp:simplePos x="0" y="0"/>
                <wp:positionH relativeFrom="column">
                  <wp:posOffset>5080</wp:posOffset>
                </wp:positionH>
                <wp:positionV relativeFrom="paragraph">
                  <wp:posOffset>261620</wp:posOffset>
                </wp:positionV>
                <wp:extent cx="5572760" cy="3003550"/>
                <wp:effectExtent l="5080" t="5080" r="5080" b="5080"/>
                <wp:wrapNone/>
                <wp:docPr id="7" name=""/>
                <a:graphic xmlns:a="http://schemas.openxmlformats.org/drawingml/2006/main">
                  <a:graphicData uri="http://schemas.microsoft.com/office/word/2010/wordprocessingShape">
                    <wps:wsp>
                      <wps:cNvSpPr/>
                      <wps:spPr>
                        <a:xfrm>
                          <a:off x="0" y="0"/>
                          <a:ext cx="5572800" cy="30034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0.4pt;margin-top:20.6pt;width:438.75pt;height:236.45pt;mso-wrap-style:none;v-text-anchor:middle">
                <v:fill o:detectmouseclick="t" type="solid" color2="#3f3f3f"/>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48">
                <wp:simplePos x="0" y="0"/>
                <wp:positionH relativeFrom="column">
                  <wp:posOffset>292100</wp:posOffset>
                </wp:positionH>
                <wp:positionV relativeFrom="paragraph">
                  <wp:posOffset>1041400</wp:posOffset>
                </wp:positionV>
                <wp:extent cx="1737360" cy="1005840"/>
                <wp:effectExtent l="5080" t="5080" r="5715" b="5715"/>
                <wp:wrapNone/>
                <wp:docPr id="8" name=""/>
                <a:graphic xmlns:a="http://schemas.openxmlformats.org/drawingml/2006/main">
                  <a:graphicData uri="http://schemas.microsoft.com/office/word/2010/wordprocessingGroup">
                    <wpg:wgp>
                      <wpg:cNvGrpSpPr/>
                      <wpg:grpSpPr>
                        <a:xfrm>
                          <a:off x="0" y="0"/>
                          <a:ext cx="1737360" cy="1005840"/>
                          <a:chOff x="0" y="0"/>
                          <a:chExt cx="1737360" cy="1005840"/>
                        </a:xfrm>
                      </wpg:grpSpPr>
                      <wps:wsp>
                        <wps:cNvPr id="9" name=""/>
                        <wps:cNvSpPr/>
                        <wps:spPr>
                          <a:xfrm>
                            <a:off x="0" y="0"/>
                            <a:ext cx="1737360" cy="100584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34640" y="308520"/>
                            <a:ext cx="1463040" cy="4446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Initiating Trading Partner</w:t>
                              </w:r>
                            </w:p>
                          </w:txbxContent>
                        </wps:txbx>
                        <wps:bodyPr wrap="square" anchor="t">
                          <a:noAutofit/>
                        </wps:bodyPr>
                      </wps:wsp>
                    </wpg:wgp>
                  </a:graphicData>
                </a:graphic>
              </wp:anchor>
            </w:drawing>
          </mc:Choice>
          <mc:Fallback>
            <w:pict>
              <v:group id="shape_0" style="position:absolute;margin-left:23pt;margin-top:82pt;width:136.8pt;height:79.2pt" coordorigin="460,1640" coordsize="2736,1584">
                <v:oval id="shape_0" fillcolor="white" stroked="t" o:allowincell="f" style="position:absolute;left:460;top:1640;width:2735;height:1583;mso-wrap-style:none;v-text-anchor:middle">
                  <v:fill o:detectmouseclick="t" type="solid" color2="black"/>
                  <v:stroke color="black" weight="9360" joinstyle="miter" endcap="flat"/>
                  <w10:wrap type="none"/>
                </v:oval>
                <v:shapetype id="_x0000_t202" coordsize="21600,21600" o:spt="202" path="m,l,21600l21600,21600l21600,xe">
                  <v:stroke joinstyle="miter"/>
                  <v:path gradientshapeok="t" o:connecttype="rect"/>
                </v:shapetype>
                <v:shape id="shape_0" stroked="f" o:allowincell="f" style="position:absolute;left:672;top:2126;width:2303;height:699;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Initiating Trading Partner</w:t>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49">
                <wp:simplePos x="0" y="0"/>
                <wp:positionH relativeFrom="column">
                  <wp:posOffset>3583940</wp:posOffset>
                </wp:positionH>
                <wp:positionV relativeFrom="paragraph">
                  <wp:posOffset>1041400</wp:posOffset>
                </wp:positionV>
                <wp:extent cx="1737360" cy="1005840"/>
                <wp:effectExtent l="5080" t="5080" r="5715" b="5715"/>
                <wp:wrapNone/>
                <wp:docPr id="10" name=""/>
                <a:graphic xmlns:a="http://schemas.openxmlformats.org/drawingml/2006/main">
                  <a:graphicData uri="http://schemas.microsoft.com/office/word/2010/wordprocessingGroup">
                    <wpg:wgp>
                      <wpg:cNvGrpSpPr/>
                      <wpg:grpSpPr>
                        <a:xfrm>
                          <a:off x="0" y="0"/>
                          <a:ext cx="1737360" cy="1005840"/>
                          <a:chOff x="0" y="0"/>
                          <a:chExt cx="1737360" cy="1005840"/>
                        </a:xfrm>
                      </wpg:grpSpPr>
                      <wps:wsp>
                        <wps:cNvPr id="11" name=""/>
                        <wps:cNvSpPr/>
                        <wps:spPr>
                          <a:xfrm>
                            <a:off x="0" y="0"/>
                            <a:ext cx="1737360" cy="100584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34640" y="308520"/>
                            <a:ext cx="1463040" cy="4446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Receiving Trading Partner</w:t>
                              </w:r>
                            </w:p>
                          </w:txbxContent>
                        </wps:txbx>
                        <wps:bodyPr wrap="square" anchor="t">
                          <a:noAutofit/>
                        </wps:bodyPr>
                      </wps:wsp>
                    </wpg:wgp>
                  </a:graphicData>
                </a:graphic>
              </wp:anchor>
            </w:drawing>
          </mc:Choice>
          <mc:Fallback>
            <w:pict>
              <v:group id="shape_0" style="position:absolute;margin-left:282.2pt;margin-top:82pt;width:136.8pt;height:79.2pt" coordorigin="5644,1640" coordsize="2736,1584">
                <v:oval id="shape_0" fillcolor="white" stroked="t" o:allowincell="f" style="position:absolute;left:5644;top:1640;width:2735;height:1583;mso-wrap-style:none;v-text-anchor:middle">
                  <v:fill o:detectmouseclick="t" type="solid" color2="black"/>
                  <v:stroke color="black" weight="9360" joinstyle="miter" endcap="flat"/>
                  <w10:wrap type="none"/>
                </v:oval>
                <v:shape id="shape_0" stroked="f" o:allowincell="f" style="position:absolute;left:5856;top:2126;width:2303;height:699;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Receiving Trading Partner</w:t>
                        </w:r>
                      </w:p>
                    </w:txbxContent>
                  </v:textbox>
                  <v:fill o:detectmouseclick="t" on="false"/>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50">
                <wp:simplePos x="0" y="0"/>
                <wp:positionH relativeFrom="column">
                  <wp:posOffset>1617980</wp:posOffset>
                </wp:positionH>
                <wp:positionV relativeFrom="paragraph">
                  <wp:posOffset>652780</wp:posOffset>
                </wp:positionV>
                <wp:extent cx="2560320" cy="365760"/>
                <wp:effectExtent l="19050" t="19050" r="635" b="19685"/>
                <wp:wrapNone/>
                <wp:docPr id="12" name=""/>
                <a:graphic xmlns:a="http://schemas.openxmlformats.org/drawingml/2006/main">
                  <a:graphicData uri="http://schemas.microsoft.com/office/word/2010/wordprocessingShape">
                    <wps:wsp>
                      <wps:cNvSpPr/>
                      <wps:spPr>
                        <a:xfrm>
                          <a:off x="0" y="0"/>
                          <a:ext cx="2560320" cy="365760"/>
                        </a:xfrm>
                        <a:custGeom>
                          <a:avLst/>
                          <a:gdLst/>
                          <a:ahLst/>
                          <a:rect l="l" t="t" r="r" b="b"/>
                          <a:pathLst>
                            <a:path w="4032" h="576">
                              <a:moveTo>
                                <a:pt x="0" y="576"/>
                              </a:moveTo>
                              <a:cubicBezTo>
                                <a:pt x="672" y="288"/>
                                <a:pt x="1344" y="0"/>
                                <a:pt x="2016" y="0"/>
                              </a:cubicBezTo>
                              <a:cubicBezTo>
                                <a:pt x="2688" y="0"/>
                                <a:pt x="3696" y="480"/>
                                <a:pt x="4032" y="576"/>
                              </a:cubicBezTo>
                            </a:path>
                          </a:pathLst>
                        </a:custGeom>
                        <a:noFill/>
                        <a:ln w="38160">
                          <a:solidFill>
                            <a:srgbClr val="800080"/>
                          </a:solidFill>
                          <a:round/>
                          <a:tailEnd len="med" type="triangle" w="med"/>
                        </a:ln>
                      </wps:spPr>
                      <wps:style>
                        <a:lnRef idx="0"/>
                        <a:fillRef idx="0"/>
                        <a:effectRef idx="0"/>
                        <a:fontRef idx="minor"/>
                      </wps:style>
                      <wps:bodyPr/>
                    </wps:wsp>
                  </a:graphicData>
                </a:graphic>
              </wp:anchor>
            </w:drawing>
          </mc:Choice>
          <mc:Fallback>
            <w:pict>
              <v:shape id="shape_0" coordsize="4032,576" path="m0,576c672,288,1344,0,2016,0c2688,0,3696,480,4032,576e" stroked="t" o:allowincell="f" style="position:absolute;margin-left:127.4pt;margin-top:51.4pt;width:201.55pt;height:28.75pt;mso-wrap-style:none;v-text-anchor:middle">
                <v:fill o:detectmouseclick="t" on="false"/>
                <v:stroke color="purple" weight="38160" endarrow="block" endarrowwidth="medium" endarrowlength="medium" joinstyle="round" endcap="flat"/>
                <w10:wrap type="none"/>
              </v:shape>
            </w:pict>
          </mc:Fallback>
        </mc:AlternateContent>
        <mc:AlternateContent>
          <mc:Choice Requires="wps">
            <w:drawing>
              <wp:anchor behindDoc="0" distT="0" distB="0" distL="114935" distR="114935" simplePos="0" locked="0" layoutInCell="1" allowOverlap="1" relativeHeight="53">
                <wp:simplePos x="0" y="0"/>
                <wp:positionH relativeFrom="column">
                  <wp:posOffset>932180</wp:posOffset>
                </wp:positionH>
                <wp:positionV relativeFrom="paragraph">
                  <wp:posOffset>2230120</wp:posOffset>
                </wp:positionV>
                <wp:extent cx="3931920" cy="822960"/>
                <wp:effectExtent l="19050" t="19050" r="635" b="19685"/>
                <wp:wrapNone/>
                <wp:docPr id="13" name=""/>
                <a:graphic xmlns:a="http://schemas.openxmlformats.org/drawingml/2006/main">
                  <a:graphicData uri="http://schemas.microsoft.com/office/word/2010/wordprocessingShape">
                    <wps:wsp>
                      <wps:cNvSpPr/>
                      <wps:spPr>
                        <a:xfrm>
                          <a:off x="0" y="0"/>
                          <a:ext cx="3931920" cy="822960"/>
                        </a:xfrm>
                        <a:custGeom>
                          <a:avLst/>
                          <a:gdLst/>
                          <a:ahLst/>
                          <a:rect l="l" t="t" r="r" b="b"/>
                          <a:pathLst>
                            <a:path w="3456" h="288">
                              <a:moveTo>
                                <a:pt x="3456" y="0"/>
                              </a:moveTo>
                              <a:cubicBezTo>
                                <a:pt x="2952" y="144"/>
                                <a:pt x="2448" y="288"/>
                                <a:pt x="1872" y="288"/>
                              </a:cubicBezTo>
                              <a:cubicBezTo>
                                <a:pt x="1296" y="288"/>
                                <a:pt x="648" y="144"/>
                                <a:pt x="0" y="0"/>
                              </a:cubicBezTo>
                            </a:path>
                          </a:pathLst>
                        </a:custGeom>
                        <a:noFill/>
                        <a:ln w="38160">
                          <a:solidFill>
                            <a:srgbClr val="ff0000"/>
                          </a:solidFill>
                          <a:prstDash val="dash"/>
                          <a:round/>
                          <a:headEnd len="med" type="triangle" w="med"/>
                        </a:ln>
                      </wps:spPr>
                      <wps:style>
                        <a:lnRef idx="0"/>
                        <a:fillRef idx="0"/>
                        <a:effectRef idx="0"/>
                        <a:fontRef idx="minor"/>
                      </wps:style>
                      <wps:bodyPr/>
                    </wps:wsp>
                  </a:graphicData>
                </a:graphic>
              </wp:anchor>
            </w:drawing>
          </mc:Choice>
          <mc:Fallback>
            <w:pict>
              <v:shape id="shape_0" coordsize="3456,288" path="m3456,0c2952,144,2448,288,1872,288c1296,288,648,144,0,0e" stroked="t" o:allowincell="f" style="position:absolute;margin-left:73.4pt;margin-top:175.6pt;width:309.55pt;height:64.75pt;mso-wrap-style:none;v-text-anchor:middle">
                <v:fill o:detectmouseclick="t" on="false"/>
                <v:stroke color="red" weight="38160" dashstyle="dash" startarrow="block" startarrowwidth="medium" startarrowlength="medium" joinstyle="round" endcap="flat"/>
                <w10:wrap type="none"/>
              </v:shape>
            </w:pict>
          </mc:Fallback>
        </mc:AlternateContent>
        <mc:AlternateContent>
          <mc:Choice Requires="wps">
            <w:drawing>
              <wp:anchor behindDoc="0" distT="0" distB="0" distL="114935" distR="114935" simplePos="0" locked="0" layoutInCell="1" allowOverlap="1" relativeHeight="54">
                <wp:simplePos x="0" y="0"/>
                <wp:positionH relativeFrom="column">
                  <wp:posOffset>1303020</wp:posOffset>
                </wp:positionH>
                <wp:positionV relativeFrom="paragraph">
                  <wp:posOffset>2204720</wp:posOffset>
                </wp:positionV>
                <wp:extent cx="3200400" cy="548640"/>
                <wp:effectExtent l="0" t="19050" r="19685" b="20320"/>
                <wp:wrapNone/>
                <wp:docPr id="14" name=""/>
                <a:graphic xmlns:a="http://schemas.openxmlformats.org/drawingml/2006/main">
                  <a:graphicData uri="http://schemas.microsoft.com/office/word/2010/wordprocessingShape">
                    <wps:wsp>
                      <wps:cNvSpPr/>
                      <wps:spPr>
                        <a:xfrm>
                          <a:off x="0" y="0"/>
                          <a:ext cx="3200400" cy="548640"/>
                        </a:xfrm>
                        <a:custGeom>
                          <a:avLst/>
                          <a:gdLst/>
                          <a:ahLst/>
                          <a:rect l="l" t="t" r="r" b="b"/>
                          <a:pathLst>
                            <a:path w="3456" h="288">
                              <a:moveTo>
                                <a:pt x="3456" y="0"/>
                              </a:moveTo>
                              <a:cubicBezTo>
                                <a:pt x="2952" y="144"/>
                                <a:pt x="2448" y="288"/>
                                <a:pt x="1872" y="288"/>
                              </a:cubicBezTo>
                              <a:cubicBezTo>
                                <a:pt x="1296" y="288"/>
                                <a:pt x="648" y="144"/>
                                <a:pt x="0" y="0"/>
                              </a:cubicBezTo>
                            </a:path>
                          </a:pathLst>
                        </a:custGeom>
                        <a:noFill/>
                        <a:ln w="38160">
                          <a:solidFill>
                            <a:srgbClr val="ff0000"/>
                          </a:solidFill>
                          <a:prstDash val="dash"/>
                          <a:round/>
                          <a:tailEnd len="med" type="triangle" w="med"/>
                        </a:ln>
                      </wps:spPr>
                      <wps:style>
                        <a:lnRef idx="0"/>
                        <a:fillRef idx="0"/>
                        <a:effectRef idx="0"/>
                        <a:fontRef idx="minor"/>
                      </wps:style>
                      <wps:bodyPr/>
                    </wps:wsp>
                  </a:graphicData>
                </a:graphic>
              </wp:anchor>
            </w:drawing>
          </mc:Choice>
          <mc:Fallback>
            <w:pict>
              <v:shape id="shape_0" coordsize="3456,288" path="m3456,0c2952,144,2448,288,1872,288c1296,288,648,144,0,0e" stroked="t" o:allowincell="f" style="position:absolute;margin-left:102.6pt;margin-top:173.6pt;width:251.95pt;height:43.15pt;mso-wrap-style:none;v-text-anchor:middle">
                <v:fill o:detectmouseclick="t" on="false"/>
                <v:stroke color="red" weight="38160" dashstyle="dash" endarrow="block" endarrowwidth="medium" endarrowlength="medium" joinstyle="round" endcap="flat"/>
                <w10:wrap type="none"/>
              </v:shape>
            </w:pict>
          </mc:Fallback>
        </mc:AlternateContent>
        <mc:AlternateContent>
          <mc:Choice Requires="wps">
            <w:drawing>
              <wp:anchor behindDoc="0" distT="0" distB="0" distL="114935" distR="114935" simplePos="0" locked="0" layoutInCell="1" allowOverlap="1" relativeHeight="57">
                <wp:simplePos x="0" y="0"/>
                <wp:positionH relativeFrom="column">
                  <wp:posOffset>1617980</wp:posOffset>
                </wp:positionH>
                <wp:positionV relativeFrom="paragraph">
                  <wp:posOffset>2082800</wp:posOffset>
                </wp:positionV>
                <wp:extent cx="2560320" cy="365760"/>
                <wp:effectExtent l="0" t="19685" r="19685" b="19050"/>
                <wp:wrapNone/>
                <wp:docPr id="15" name=""/>
                <a:graphic xmlns:a="http://schemas.openxmlformats.org/drawingml/2006/main">
                  <a:graphicData uri="http://schemas.microsoft.com/office/word/2010/wordprocessingShape">
                    <wps:wsp>
                      <wps:cNvSpPr/>
                      <wps:spPr>
                        <a:xfrm flipV="1">
                          <a:off x="0" y="0"/>
                          <a:ext cx="2560320" cy="365760"/>
                        </a:xfrm>
                        <a:custGeom>
                          <a:avLst/>
                          <a:gdLst/>
                          <a:ahLst/>
                          <a:rect l="l" t="t" r="r" b="b"/>
                          <a:pathLst>
                            <a:path w="4032" h="576">
                              <a:moveTo>
                                <a:pt x="0" y="576"/>
                              </a:moveTo>
                              <a:cubicBezTo>
                                <a:pt x="672" y="288"/>
                                <a:pt x="1344" y="0"/>
                                <a:pt x="2016" y="0"/>
                              </a:cubicBezTo>
                              <a:cubicBezTo>
                                <a:pt x="2688" y="0"/>
                                <a:pt x="3696" y="480"/>
                                <a:pt x="4032" y="576"/>
                              </a:cubicBezTo>
                            </a:path>
                          </a:pathLst>
                        </a:custGeom>
                        <a:noFill/>
                        <a:ln w="38160">
                          <a:solidFill>
                            <a:srgbClr val="800080"/>
                          </a:solidFill>
                          <a:round/>
                          <a:headEnd len="med" type="triangle" w="med"/>
                        </a:ln>
                      </wps:spPr>
                      <wps:style>
                        <a:lnRef idx="0"/>
                        <a:fillRef idx="0"/>
                        <a:effectRef idx="0"/>
                        <a:fontRef idx="minor"/>
                      </wps:style>
                      <wps:bodyPr/>
                    </wps:wsp>
                  </a:graphicData>
                </a:graphic>
              </wp:anchor>
            </w:drawing>
          </mc:Choice>
          <mc:Fallback>
            <w:pict>
              <v:shape id="shape_0" coordsize="4032,576" path="m0,576c672,288,1344,0,2016,0c2688,0,3696,480,4032,576e" stroked="t" o:allowincell="f" style="position:absolute;margin-left:127.4pt;margin-top:164pt;width:201.55pt;height:28.75pt;flip:y;mso-wrap-style:none;v-text-anchor:middle">
                <v:fill o:detectmouseclick="t" on="false"/>
                <v:stroke color="purple" weight="38160" startarrow="block" startarrowwidth="medium" startarrowlength="medium" joinstyle="round" endcap="flat"/>
                <w10:wrap type="none"/>
              </v:shape>
            </w:pict>
          </mc:Fallback>
        </mc:AlternateContent>
      </w:r>
      <w:r>
        <mc:AlternateContent>
          <mc:Choice Requires="wps">
            <w:drawing>
              <wp:anchor behindDoc="0" distT="0" distB="0" distL="114935" distR="114935" simplePos="0" locked="0" layoutInCell="1" allowOverlap="1" relativeHeight="51">
                <wp:simplePos x="0" y="0"/>
                <wp:positionH relativeFrom="column">
                  <wp:posOffset>2555240</wp:posOffset>
                </wp:positionH>
                <wp:positionV relativeFrom="paragraph">
                  <wp:posOffset>350520</wp:posOffset>
                </wp:positionV>
                <wp:extent cx="548640" cy="365760"/>
                <wp:effectExtent l="0" t="0" r="0" b="0"/>
                <wp:wrapNone/>
                <wp:docPr id="16" name="Frame6"/>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jc w:val="center"/>
                              <w:rPr>
                                <w:color w:val="800080"/>
                                <w:sz w:val="32"/>
                              </w:rPr>
                            </w:pPr>
                            <w:r>
                              <w:rPr>
                                <w:color w:val="800080"/>
                                <w:sz w:val="32"/>
                              </w:rPr>
                              <w:t>T</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27.6pt;mso-position-vertical-relative:text;margin-left:201.2pt;mso-position-horizontal-relative:text">
                <v:fill opacity="0f"/>
                <v:textbox inset="0.100694444444444in,0.0506944444444444in,0.100694444444444in,0.0506944444444444in">
                  <w:txbxContent>
                    <w:p>
                      <w:pPr>
                        <w:pStyle w:val="Normal"/>
                        <w:jc w:val="center"/>
                        <w:rPr>
                          <w:color w:val="800080"/>
                          <w:sz w:val="32"/>
                        </w:rPr>
                      </w:pPr>
                      <w:r>
                        <w:rPr>
                          <w:color w:val="800080"/>
                          <w:sz w:val="32"/>
                        </w:rPr>
                        <w:t>T</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2585720</wp:posOffset>
                </wp:positionH>
                <wp:positionV relativeFrom="paragraph">
                  <wp:posOffset>2118360</wp:posOffset>
                </wp:positionV>
                <wp:extent cx="548640" cy="365760"/>
                <wp:effectExtent l="0" t="0" r="0" b="0"/>
                <wp:wrapNone/>
                <wp:docPr id="17" name="Frame5"/>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jc w:val="center"/>
                              <w:rPr>
                                <w:color w:val="800080"/>
                                <w:sz w:val="32"/>
                              </w:rPr>
                            </w:pPr>
                            <w:r>
                              <w:rPr>
                                <w:color w:val="800080"/>
                                <w:sz w:val="32"/>
                              </w:rPr>
                              <w:t>FA</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166.8pt;mso-position-vertical-relative:text;margin-left:203.6pt;mso-position-horizontal-relative:text">
                <v:fill opacity="0f"/>
                <v:textbox inset="0.100694444444444in,0.0506944444444444in,0.100694444444444in,0.0506944444444444in">
                  <w:txbxContent>
                    <w:p>
                      <w:pPr>
                        <w:pStyle w:val="Normal"/>
                        <w:jc w:val="center"/>
                        <w:rPr>
                          <w:color w:val="800080"/>
                          <w:sz w:val="32"/>
                        </w:rPr>
                      </w:pPr>
                      <w:r>
                        <w:rPr>
                          <w:color w:val="800080"/>
                          <w:sz w:val="32"/>
                        </w:rPr>
                        <w:t>FA</w:t>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2819400</wp:posOffset>
                </wp:positionH>
                <wp:positionV relativeFrom="paragraph">
                  <wp:posOffset>2453640</wp:posOffset>
                </wp:positionV>
                <wp:extent cx="548640" cy="365760"/>
                <wp:effectExtent l="0" t="0" r="0" b="0"/>
                <wp:wrapNone/>
                <wp:docPr id="18" name="Frame4"/>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jc w:val="center"/>
                              <w:rPr>
                                <w:color w:val="FF0000"/>
                                <w:sz w:val="32"/>
                              </w:rPr>
                            </w:pPr>
                            <w:r>
                              <w:rPr>
                                <w:color w:val="FF0000"/>
                                <w:sz w:val="32"/>
                              </w:rPr>
                              <w:t>A/R</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193.2pt;mso-position-vertical-relative:text;margin-left:222pt;mso-position-horizontal-relative:text">
                <v:fill opacity="0f"/>
                <v:textbox inset="0.100694444444444in,0.0506944444444444in,0.100694444444444in,0.0506944444444444in">
                  <w:txbxContent>
                    <w:p>
                      <w:pPr>
                        <w:pStyle w:val="Normal"/>
                        <w:jc w:val="center"/>
                        <w:rPr>
                          <w:color w:val="FF0000"/>
                          <w:sz w:val="32"/>
                        </w:rPr>
                      </w:pPr>
                      <w:r>
                        <w:rPr>
                          <w:color w:val="FF0000"/>
                          <w:sz w:val="32"/>
                        </w:rPr>
                        <w:t>A/R</w:t>
                      </w:r>
                    </w:p>
                  </w:txbxContent>
                </v:textbox>
                <w10:wrap type="none"/>
              </v:rect>
            </w:pict>
          </mc:Fallback>
        </mc:AlternateContent>
      </w:r>
      <w:r>
        <mc:AlternateContent>
          <mc:Choice Requires="wps">
            <w:drawing>
              <wp:anchor behindDoc="0" distT="0" distB="0" distL="114935" distR="114935" simplePos="0" locked="0" layoutInCell="1" allowOverlap="1" relativeHeight="56">
                <wp:simplePos x="0" y="0"/>
                <wp:positionH relativeFrom="column">
                  <wp:posOffset>2997200</wp:posOffset>
                </wp:positionH>
                <wp:positionV relativeFrom="paragraph">
                  <wp:posOffset>2743200</wp:posOffset>
                </wp:positionV>
                <wp:extent cx="548640" cy="365760"/>
                <wp:effectExtent l="0" t="0" r="0" b="0"/>
                <wp:wrapNone/>
                <wp:docPr id="19" name="Frame3"/>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jc w:val="center"/>
                              <w:rPr>
                                <w:color w:val="FF0000"/>
                                <w:sz w:val="32"/>
                              </w:rPr>
                            </w:pPr>
                            <w:r>
                              <w:rPr>
                                <w:color w:val="FF0000"/>
                                <w:sz w:val="32"/>
                              </w:rPr>
                              <w:t>FA</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216pt;mso-position-vertical-relative:text;margin-left:236pt;mso-position-horizontal-relative:text">
                <v:fill opacity="0f"/>
                <v:textbox inset="0.100694444444444in,0.0506944444444444in,0.100694444444444in,0.0506944444444444in">
                  <w:txbxContent>
                    <w:p>
                      <w:pPr>
                        <w:pStyle w:val="Normal"/>
                        <w:jc w:val="center"/>
                        <w:rPr>
                          <w:color w:val="FF0000"/>
                          <w:sz w:val="32"/>
                        </w:rPr>
                      </w:pPr>
                      <w:r>
                        <w:rPr>
                          <w:color w:val="FF0000"/>
                          <w:sz w:val="32"/>
                        </w:rPr>
                        <w:t>FA</w:t>
                      </w:r>
                    </w:p>
                  </w:txbxContent>
                </v:textbox>
                <w10:wrap type="none"/>
              </v:rect>
            </w:pict>
          </mc:Fallback>
        </mc:AlternateContent>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46">
                <wp:simplePos x="0" y="0"/>
                <wp:positionH relativeFrom="column">
                  <wp:posOffset>5080</wp:posOffset>
                </wp:positionH>
                <wp:positionV relativeFrom="paragraph">
                  <wp:posOffset>-59690</wp:posOffset>
                </wp:positionV>
                <wp:extent cx="5572760" cy="3003550"/>
                <wp:effectExtent l="5080" t="5080" r="5080" b="5080"/>
                <wp:wrapNone/>
                <wp:docPr id="20" name=""/>
                <a:graphic xmlns:a="http://schemas.openxmlformats.org/drawingml/2006/main">
                  <a:graphicData uri="http://schemas.microsoft.com/office/word/2010/wordprocessingShape">
                    <wps:wsp>
                      <wps:cNvSpPr/>
                      <wps:spPr>
                        <a:xfrm>
                          <a:off x="0" y="0"/>
                          <a:ext cx="5572800" cy="30034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0.4pt;margin-top:-4.7pt;width:438.75pt;height:236.45pt;mso-wrap-style:none;v-text-anchor:middle">
                <v:fill o:detectmouseclick="t" type="solid" color2="#3f3f3f"/>
                <v:stroke color="black" weight="9360" joinstyle="miter" endcap="flat"/>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4"/>
        <w:ind w:hanging="0" w:start="0"/>
        <w:rPr>
          <w:sz w:val="24"/>
        </w:rPr>
      </w:pPr>
      <w:r>
        <w:rPr>
          <w:sz w:val="24"/>
        </w:rPr>
        <w:t>Event Order</w:t>
      </w:r>
    </w:p>
    <w:p>
      <w:pPr>
        <w:pStyle w:val="Normal"/>
        <w:numPr>
          <w:ilvl w:val="0"/>
          <w:numId w:val="18"/>
        </w:numPr>
        <w:rPr>
          <w:sz w:val="24"/>
        </w:rPr>
      </w:pPr>
      <w:r>
        <w:rPr>
          <w:b/>
          <w:sz w:val="24"/>
        </w:rPr>
        <w:t>T</w:t>
      </w:r>
      <w:r>
        <w:rPr>
          <w:sz w:val="24"/>
        </w:rPr>
        <w:t xml:space="preserve"> – initiating transaction</w:t>
        <w:br/>
      </w:r>
    </w:p>
    <w:p>
      <w:pPr>
        <w:pStyle w:val="Normal"/>
        <w:numPr>
          <w:ilvl w:val="0"/>
          <w:numId w:val="18"/>
        </w:numPr>
        <w:rPr>
          <w:sz w:val="24"/>
        </w:rPr>
      </w:pPr>
      <w:r>
        <w:rPr>
          <w:b/>
          <w:sz w:val="24"/>
        </w:rPr>
        <w:t>FA</w:t>
      </w:r>
      <w:r>
        <w:rPr>
          <w:sz w:val="24"/>
        </w:rPr>
        <w:t xml:space="preserve"> – Functional Acknowledgment response to the initiating transaction (always a 997)</w:t>
        <w:br/>
      </w:r>
    </w:p>
    <w:p>
      <w:pPr>
        <w:pStyle w:val="Normal"/>
        <w:numPr>
          <w:ilvl w:val="0"/>
          <w:numId w:val="18"/>
        </w:numPr>
        <w:rPr>
          <w:sz w:val="24"/>
        </w:rPr>
      </w:pPr>
      <w:r>
        <w:rPr>
          <w:b/>
          <w:sz w:val="24"/>
        </w:rPr>
        <w:t>A/R</w:t>
      </w:r>
      <w:r>
        <w:rPr>
          <w:sz w:val="24"/>
        </w:rPr>
        <w:t xml:space="preserve"> – Application Response, if required, to the initiating transaction (see Transaction Response Matrix below for specific A/R requirements)</w:t>
        <w:br/>
      </w:r>
    </w:p>
    <w:p>
      <w:pPr>
        <w:pStyle w:val="Normal"/>
        <w:numPr>
          <w:ilvl w:val="0"/>
          <w:numId w:val="18"/>
        </w:numPr>
        <w:rPr>
          <w:sz w:val="24"/>
        </w:rPr>
      </w:pPr>
      <w:r>
        <w:rPr>
          <w:b/>
          <w:sz w:val="24"/>
        </w:rPr>
        <w:t>FA</w:t>
      </w:r>
      <w:r>
        <w:rPr>
          <w:sz w:val="24"/>
        </w:rPr>
        <w:t xml:space="preserve"> – Functional Acknowledgment response to the Application Response (always a 997)</w:t>
      </w:r>
      <w:r>
        <w:rPr>
          <w:sz w:val="22"/>
        </w:rPr>
        <w:br/>
      </w:r>
      <w:r>
        <w:br w:type="page"/>
      </w:r>
    </w:p>
    <w:p>
      <w:pPr>
        <w:pStyle w:val="Heading5"/>
        <w:ind w:hanging="0" w:start="0"/>
        <w:rPr/>
      </w:pPr>
      <w:r>
        <w:rPr/>
        <w:t>Transaction Response Matrix</w:t>
      </w:r>
    </w:p>
    <w:p>
      <w:pPr>
        <w:pStyle w:val="Heading5"/>
        <w:ind w:hanging="0" w:start="360" w:end="0"/>
        <w:rPr>
          <w:b w:val="false"/>
        </w:rPr>
      </w:pPr>
      <w:r>
        <w:rPr>
          <w:b w:val="false"/>
        </w:rPr>
        <w:t>Indicates transaction identifier, functional and application responses and response time frames</w:t>
      </w:r>
    </w:p>
    <w:p>
      <w:pPr>
        <w:pStyle w:val="Normal"/>
        <w:rPr/>
      </w:pPr>
      <w:r>
        <w:rPr/>
      </w:r>
    </w:p>
    <w:tbl>
      <w:tblPr>
        <w:tblW w:w="8657" w:type="dxa"/>
        <w:jc w:val="center"/>
        <w:tblInd w:w="0" w:type="dxa"/>
        <w:tblLayout w:type="fixed"/>
        <w:tblCellMar>
          <w:top w:w="0" w:type="dxa"/>
          <w:start w:w="108" w:type="dxa"/>
          <w:bottom w:w="0" w:type="dxa"/>
          <w:end w:w="108" w:type="dxa"/>
        </w:tblCellMar>
      </w:tblPr>
      <w:tblGrid>
        <w:gridCol w:w="1573"/>
        <w:gridCol w:w="1771"/>
        <w:gridCol w:w="1771"/>
        <w:gridCol w:w="1771"/>
        <w:gridCol w:w="1771"/>
      </w:tblGrid>
      <w:tr>
        <w:trPr/>
        <w:tc>
          <w:tcPr>
            <w:tcW w:w="1573"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i/>
                <w:i/>
                <w:sz w:val="24"/>
              </w:rPr>
            </w:pPr>
            <w:r>
              <w:rPr>
                <w:b/>
                <w:i/>
                <w:sz w:val="24"/>
              </w:rPr>
              <w:t>T</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i/>
                <w:i/>
                <w:sz w:val="24"/>
              </w:rPr>
            </w:pPr>
            <w:r>
              <w:rPr>
                <w:b/>
                <w:i/>
                <w:sz w:val="24"/>
              </w:rPr>
              <w:t>ID*</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i/>
                <w:i/>
                <w:sz w:val="24"/>
              </w:rPr>
            </w:pPr>
            <w:r>
              <w:rPr>
                <w:b/>
                <w:i/>
                <w:sz w:val="24"/>
              </w:rPr>
              <w:t>A/R</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i/>
                <w:i/>
                <w:sz w:val="24"/>
              </w:rPr>
            </w:pPr>
            <w:r>
              <w:rPr>
                <w:b/>
                <w:i/>
                <w:sz w:val="24"/>
              </w:rPr>
              <w:t>A/R Response Time</w:t>
            </w:r>
          </w:p>
        </w:tc>
        <w:tc>
          <w:tcPr>
            <w:tcW w:w="1771"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i/>
                <w:i/>
                <w:sz w:val="24"/>
              </w:rPr>
            </w:pPr>
            <w:r>
              <w:rPr>
                <w:b/>
                <w:i/>
                <w:sz w:val="24"/>
              </w:rPr>
              <w:t xml:space="preserve">FA </w:t>
              <w:br/>
            </w:r>
            <w:r>
              <w:rPr>
                <w:b/>
                <w:i/>
              </w:rPr>
              <w:t>(1 business day response)</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814e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814</w:t>
              <w:br/>
            </w:r>
            <w:r>
              <w:rPr>
                <w:i/>
              </w:rPr>
              <w:t>(required on reject or accept)</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814d</w:t>
              <w:br/>
              <w:t>(Utility to E/M)</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814</w:t>
              <w:br/>
            </w:r>
            <w:r>
              <w:rPr>
                <w:i/>
              </w:rPr>
              <w:t>(required only on negative response)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814d</w:t>
              <w:br/>
              <w:t>(E/M to Utility)</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814</w:t>
              <w:br/>
            </w:r>
            <w:r>
              <w:rPr>
                <w:i/>
              </w:rPr>
              <w:t>(required on negative or positive response)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814c</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814hu</w:t>
              <w:br/>
              <w:t>(E/M to Utility)</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814</w:t>
              <w:br/>
            </w:r>
            <w:r>
              <w:rPr>
                <w:i/>
              </w:rPr>
              <w:t>(required on negative or positive response)</w:t>
            </w:r>
            <w:r>
              <w:rPr/>
              <w:t xml:space="preserve"> </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867hu</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824 </w:t>
              <w:br/>
            </w:r>
            <w:r>
              <w:rPr>
                <w:i/>
              </w:rPr>
              <w:t>(required only on negative response)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867cu</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BGN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824 </w:t>
              <w:br/>
            </w:r>
            <w:r>
              <w:rPr>
                <w:i/>
              </w:rPr>
              <w:t>(required only on negative response)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2 business days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810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r>
        <w:trPr>
          <w:trHeight w:val="116" w:hRule="atLeast"/>
        </w:trPr>
        <w:tc>
          <w:tcPr>
            <w:tcW w:w="1573" w:type="dxa"/>
            <w:tcBorders>
              <w:top w:val="single" w:sz="4" w:space="0" w:color="000000"/>
              <w:start w:val="single" w:sz="4" w:space="0" w:color="000000"/>
              <w:bottom w:val="single" w:sz="4" w:space="0" w:color="000000"/>
              <w:end w:val="single" w:sz="4" w:space="0" w:color="000000"/>
            </w:tcBorders>
          </w:tcPr>
          <w:p>
            <w:pPr>
              <w:pStyle w:val="Normal"/>
              <w:jc w:val="center"/>
              <w:rPr/>
            </w:pPr>
            <w:r>
              <w:rPr/>
              <w:t>820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TBD</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pPr>
            <w:r>
              <w:rPr/>
              <w:t>997</w:t>
            </w:r>
          </w:p>
        </w:tc>
      </w:tr>
    </w:tbl>
    <w:p>
      <w:pPr>
        <w:pStyle w:val="Normal"/>
        <w:ind w:firstLine="540" w:start="720" w:end="0"/>
        <w:rPr/>
      </w:pPr>
      <w:r>
        <w:rPr/>
        <w:t>* Transaction segment containing the unique identifier</w:t>
      </w:r>
    </w:p>
    <w:p>
      <w:pPr>
        <w:pStyle w:val="Heading7"/>
        <w:ind w:hanging="0" w:start="0"/>
        <w:rPr/>
      </w:pPr>
      <w:r>
        <w:rPr/>
        <w:br/>
        <w:t>II. TRANSACTION PROCESSING RULES</w:t>
      </w:r>
    </w:p>
    <w:p>
      <w:pPr>
        <w:pStyle w:val="Normal"/>
        <w:rPr>
          <w:sz w:val="24"/>
        </w:rPr>
      </w:pPr>
      <w:r>
        <w:rPr>
          <w:sz w:val="24"/>
        </w:rPr>
      </w:r>
    </w:p>
    <w:p>
      <w:pPr>
        <w:pStyle w:val="Normal"/>
        <w:numPr>
          <w:ilvl w:val="0"/>
          <w:numId w:val="15"/>
        </w:numPr>
        <w:tabs>
          <w:tab w:val="left" w:pos="720" w:leader="none"/>
        </w:tabs>
        <w:ind w:hanging="360" w:start="720" w:end="0"/>
        <w:rPr>
          <w:sz w:val="24"/>
        </w:rPr>
      </w:pPr>
      <w:r>
        <w:rPr>
          <w:sz w:val="24"/>
        </w:rPr>
        <w:t>New York follows a “First-In” approach to transaction processing. “First In” will be the first valid transaction that was processed and accepted by the application system. Transactions must be processed by the recipient in the order they are received.  Receipt of a transaction is considered the date and time the server post function is complete.</w:t>
        <w:br/>
      </w:r>
    </w:p>
    <w:p>
      <w:pPr>
        <w:pStyle w:val="Normal"/>
        <w:numPr>
          <w:ilvl w:val="0"/>
          <w:numId w:val="15"/>
        </w:numPr>
        <w:tabs>
          <w:tab w:val="left" w:pos="720" w:leader="none"/>
        </w:tabs>
        <w:ind w:hanging="360" w:start="720" w:end="0"/>
        <w:rPr>
          <w:sz w:val="24"/>
        </w:rPr>
      </w:pPr>
      <w:r>
        <w:rPr>
          <w:sz w:val="24"/>
        </w:rPr>
        <w:t>The 997 FA is required as a response to every transaction received.  The 997 will only be used as a functional response, issued by the EDI translator, to verify receipt of a valid X12 document.  No application error conditions will be communicated in the 997. Each 997 FA will be returned within one business day of receipt of the initiating transaction.</w:t>
        <w:br/>
      </w:r>
    </w:p>
    <w:p>
      <w:pPr>
        <w:pStyle w:val="Normal"/>
        <w:numPr>
          <w:ilvl w:val="0"/>
          <w:numId w:val="57"/>
        </w:numPr>
        <w:tabs>
          <w:tab w:val="left" w:pos="720" w:leader="none"/>
        </w:tabs>
        <w:ind w:hanging="360" w:start="720" w:end="0"/>
        <w:rPr>
          <w:b/>
          <w:i/>
          <w:i/>
          <w:sz w:val="24"/>
        </w:rPr>
      </w:pPr>
      <w:r>
        <w:rPr>
          <w:sz w:val="24"/>
        </w:rPr>
        <w:t>Application Responses will be used on a business conditional basis as specified for each transaction.</w:t>
        <w:br/>
      </w:r>
      <w:r>
        <w:br w:type="page"/>
      </w:r>
    </w:p>
    <w:p>
      <w:pPr>
        <w:pStyle w:val="Normal"/>
        <w:rPr>
          <w:b/>
          <w:i/>
          <w:i/>
          <w:sz w:val="24"/>
          <w:lang w:val="en-CA"/>
        </w:rPr>
      </w:pPr>
      <w:r>
        <w:rPr>
          <w:b/>
          <w:i/>
          <w:sz w:val="24"/>
          <w:lang w:val="en-CA"/>
        </w:rPr>
        <mc:AlternateContent>
          <mc:Choice Requires="wps">
            <w:drawing>
              <wp:anchor behindDoc="0" distT="0" distB="0" distL="114935" distR="114935" simplePos="0" locked="0" layoutInCell="1" allowOverlap="1" relativeHeight="29">
                <wp:simplePos x="0" y="0"/>
                <wp:positionH relativeFrom="column">
                  <wp:posOffset>71120</wp:posOffset>
                </wp:positionH>
                <wp:positionV relativeFrom="paragraph">
                  <wp:posOffset>6350</wp:posOffset>
                </wp:positionV>
                <wp:extent cx="5344160" cy="5238750"/>
                <wp:effectExtent l="12700" t="12700" r="12700" b="12700"/>
                <wp:wrapNone/>
                <wp:docPr id="21" name=""/>
                <a:graphic xmlns:a="http://schemas.openxmlformats.org/drawingml/2006/main">
                  <a:graphicData uri="http://schemas.microsoft.com/office/word/2010/wordprocessingShape">
                    <wps:wsp>
                      <wps:cNvSpPr/>
                      <wps:spPr>
                        <a:xfrm>
                          <a:off x="0" y="0"/>
                          <a:ext cx="5344200" cy="5238720"/>
                        </a:xfrm>
                        <a:prstGeom prst="rect">
                          <a:avLst/>
                        </a:prstGeom>
                        <a:solidFill>
                          <a:srgbClr val="808080"/>
                        </a:solidFill>
                        <a:ln w="25560">
                          <a:solidFill>
                            <a:srgbClr val="000000"/>
                          </a:solidFill>
                          <a:prstDash val="dash"/>
                          <a:miter/>
                        </a:ln>
                      </wps:spPr>
                      <wps:style>
                        <a:lnRef idx="0"/>
                        <a:fillRef idx="0"/>
                        <a:effectRef idx="0"/>
                        <a:fontRef idx="minor"/>
                      </wps:style>
                      <wps:bodyPr/>
                    </wps:wsp>
                  </a:graphicData>
                </a:graphic>
              </wp:anchor>
            </w:drawing>
          </mc:Choice>
          <mc:Fallback>
            <w:pict>
              <v:rect id="shape_0" fillcolor="gray" stroked="t" o:allowincell="f" style="position:absolute;margin-left:5.6pt;margin-top:0.5pt;width:420.75pt;height:412.45pt;mso-wrap-style:none;v-text-anchor:middle">
                <v:fill o:detectmouseclick="t" type="solid" color2="#7f7f7f"/>
                <v:stroke color="black" weight="25560" dashstyle="dash" joinstyle="miter" endcap="flat"/>
                <w10:wrap type="none"/>
              </v:rect>
            </w:pict>
          </mc:Fallback>
        </mc:AlternateContent>
        <mc:AlternateContent>
          <mc:Choice Requires="wps">
            <w:drawing>
              <wp:anchor behindDoc="0" distT="0" distB="0" distL="114935" distR="114935" simplePos="0" locked="0" layoutInCell="1" allowOverlap="1" relativeHeight="30">
                <wp:simplePos x="0" y="0"/>
                <wp:positionH relativeFrom="column">
                  <wp:posOffset>662940</wp:posOffset>
                </wp:positionH>
                <wp:positionV relativeFrom="paragraph">
                  <wp:posOffset>317500</wp:posOffset>
                </wp:positionV>
                <wp:extent cx="4160520" cy="4626610"/>
                <wp:effectExtent l="5080" t="5080" r="5080" b="5080"/>
                <wp:wrapNone/>
                <wp:docPr id="22" name=""/>
                <a:graphic xmlns:a="http://schemas.openxmlformats.org/drawingml/2006/main">
                  <a:graphicData uri="http://schemas.microsoft.com/office/word/2010/wordprocessingShape">
                    <wps:wsp>
                      <wps:cNvSpPr/>
                      <wps:spPr>
                        <a:xfrm>
                          <a:off x="0" y="0"/>
                          <a:ext cx="4160520" cy="4626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2.2pt;margin-top:25pt;width:327.55pt;height:364.2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1">
                <wp:simplePos x="0" y="0"/>
                <wp:positionH relativeFrom="column">
                  <wp:posOffset>1097280</wp:posOffset>
                </wp:positionH>
                <wp:positionV relativeFrom="paragraph">
                  <wp:posOffset>822960</wp:posOffset>
                </wp:positionV>
                <wp:extent cx="3205480" cy="3779520"/>
                <wp:effectExtent l="5080" t="5080" r="5080" b="5080"/>
                <wp:wrapNone/>
                <wp:docPr id="23" name=""/>
                <a:graphic xmlns:a="http://schemas.openxmlformats.org/drawingml/2006/main">
                  <a:graphicData uri="http://schemas.microsoft.com/office/word/2010/wordprocessingShape">
                    <wps:wsp>
                      <wps:cNvSpPr/>
                      <wps:spPr>
                        <a:xfrm>
                          <a:off x="0" y="0"/>
                          <a:ext cx="3205440" cy="37796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86.4pt;margin-top:64.8pt;width:252.35pt;height:297.5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6">
                <wp:simplePos x="0" y="0"/>
                <wp:positionH relativeFrom="column">
                  <wp:posOffset>1934845</wp:posOffset>
                </wp:positionH>
                <wp:positionV relativeFrom="paragraph">
                  <wp:posOffset>3013710</wp:posOffset>
                </wp:positionV>
                <wp:extent cx="1584960" cy="726440"/>
                <wp:effectExtent l="5080" t="5080" r="5080" b="5080"/>
                <wp:wrapNone/>
                <wp:docPr id="24" name=""/>
                <a:graphic xmlns:a="http://schemas.openxmlformats.org/drawingml/2006/main">
                  <a:graphicData uri="http://schemas.microsoft.com/office/word/2010/wordprocessingShape">
                    <wps:wsp>
                      <wps:cNvSpPr/>
                      <wps:spPr>
                        <a:xfrm>
                          <a:off x="0" y="0"/>
                          <a:ext cx="1585080" cy="7264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52.35pt;margin-top:237.3pt;width:124.75pt;height:57.1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9">
                <wp:simplePos x="0" y="0"/>
                <wp:positionH relativeFrom="column">
                  <wp:posOffset>1920240</wp:posOffset>
                </wp:positionH>
                <wp:positionV relativeFrom="paragraph">
                  <wp:posOffset>1371600</wp:posOffset>
                </wp:positionV>
                <wp:extent cx="1584960" cy="1513840"/>
                <wp:effectExtent l="5080" t="5080" r="5080" b="5080"/>
                <wp:wrapNone/>
                <wp:docPr id="25" name=""/>
                <a:graphic xmlns:a="http://schemas.openxmlformats.org/drawingml/2006/main">
                  <a:graphicData uri="http://schemas.microsoft.com/office/word/2010/wordprocessingShape">
                    <wps:wsp>
                      <wps:cNvSpPr/>
                      <wps:spPr>
                        <a:xfrm>
                          <a:off x="0" y="0"/>
                          <a:ext cx="1585080" cy="15138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1.2pt;margin-top:108pt;width:124.75pt;height:119.15pt;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85725</wp:posOffset>
                </wp:positionH>
                <wp:positionV relativeFrom="paragraph">
                  <wp:posOffset>15240</wp:posOffset>
                </wp:positionV>
                <wp:extent cx="1471930" cy="237490"/>
                <wp:effectExtent l="0" t="0" r="0" b="0"/>
                <wp:wrapNone/>
                <wp:docPr id="26" name="Frame12"/>
                <a:graphic xmlns:a="http://schemas.openxmlformats.org/drawingml/2006/main">
                  <a:graphicData uri="http://schemas.microsoft.com/office/word/2010/wordprocessingShape">
                    <wps:wsp>
                      <wps:cNvSpPr txBox="1"/>
                      <wps:spPr>
                        <a:xfrm>
                          <a:off x="0" y="0"/>
                          <a:ext cx="1471930" cy="237490"/>
                        </a:xfrm>
                        <a:prstGeom prst="rect"/>
                        <a:solidFill>
                          <a:srgbClr val="969696"/>
                        </a:solidFill>
                        <a:ln w="9525">
                          <a:solidFill>
                            <a:srgbClr val="000000"/>
                          </a:solidFill>
                        </a:ln>
                      </wps:spPr>
                      <wps:txbx>
                        <w:txbxContent>
                          <w:p>
                            <w:pPr>
                              <w:pStyle w:val="Normal"/>
                              <w:rPr>
                                <w:b/>
                              </w:rPr>
                            </w:pPr>
                            <w:r>
                              <w:rPr>
                                <w:b/>
                              </w:rPr>
                              <w:t>Communication Layer</w:t>
                            </w:r>
                          </w:p>
                        </w:txbxContent>
                      </wps:txbx>
                      <wps:bodyPr anchor="t" lIns="91440" tIns="45720" rIns="91440" bIns="45720">
                        <a:noAutofit/>
                      </wps:bodyPr>
                    </wps:wsp>
                  </a:graphicData>
                </a:graphic>
              </wp:anchor>
            </w:drawing>
          </mc:Choice>
          <mc:Fallback>
            <w:pict>
              <v:rect fillcolor="#969696" strokecolor="#000000" strokeweight="0pt" style="position:absolute;rotation:-0;width:115.9pt;height:18.7pt;mso-wrap-distance-left:9.05pt;mso-wrap-distance-right:9.05pt;mso-wrap-distance-top:0pt;mso-wrap-distance-bottom:0pt;margin-top:1.2pt;mso-position-vertical-relative:text;margin-left:6.75pt;mso-position-horizontal-relative:text">
                <v:textbox>
                  <w:txbxContent>
                    <w:p>
                      <w:pPr>
                        <w:pStyle w:val="Normal"/>
                        <w:rPr>
                          <w:b/>
                        </w:rPr>
                      </w:pPr>
                      <w:r>
                        <w:rPr>
                          <w:b/>
                        </w:rPr>
                        <w:t>Communication Layer</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1946275</wp:posOffset>
                </wp:positionH>
                <wp:positionV relativeFrom="paragraph">
                  <wp:posOffset>3765550</wp:posOffset>
                </wp:positionV>
                <wp:extent cx="274320" cy="840105"/>
                <wp:effectExtent l="0" t="0" r="0" b="0"/>
                <wp:wrapNone/>
                <wp:docPr id="27" name="Frame7"/>
                <a:graphic xmlns:a="http://schemas.openxmlformats.org/drawingml/2006/main">
                  <a:graphicData uri="http://schemas.microsoft.com/office/word/2010/wordprocessingShape">
                    <wps:wsp>
                      <wps:cNvSpPr txBox="1"/>
                      <wps:spPr>
                        <a:xfrm>
                          <a:off x="0" y="0"/>
                          <a:ext cx="274320" cy="840105"/>
                        </a:xfrm>
                        <a:prstGeom prst="rect"/>
                        <a:solidFill>
                          <a:srgbClr val="FFFFFF">
                            <a:alpha val="0"/>
                          </a:srgbClr>
                        </a:solidFill>
                      </wps:spPr>
                      <wps:txbx>
                        <w:txbxContent>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xbxContent>
                      </wps:txbx>
                      <wps:bodyPr anchor="t" lIns="92075" tIns="46355" rIns="92075" bIns="46355">
                        <a:noAutofit/>
                      </wps:bodyPr>
                    </wps:wsp>
                  </a:graphicData>
                </a:graphic>
              </wp:anchor>
            </w:drawing>
          </mc:Choice>
          <mc:Fallback>
            <w:pict>
              <v:rect fillcolor="#FFFFFF" style="position:absolute;rotation:-0;width:21.6pt;height:66.15pt;mso-wrap-distance-left:9.05pt;mso-wrap-distance-right:9.05pt;mso-wrap-distance-top:0pt;mso-wrap-distance-bottom:0pt;margin-top:296.5pt;mso-position-vertical-relative:text;margin-left:153.25pt;mso-position-horizontal-relative:text">
                <v:fill opacity="0f"/>
                <v:textbox inset="0.100694444444444in,0.0506944444444444in,0.100694444444444in,0.0506944444444444in">
                  <w:txbxContent>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1981835</wp:posOffset>
                </wp:positionH>
                <wp:positionV relativeFrom="paragraph">
                  <wp:posOffset>3068320</wp:posOffset>
                </wp:positionV>
                <wp:extent cx="365760" cy="247015"/>
                <wp:effectExtent l="0" t="0" r="0" b="0"/>
                <wp:wrapNone/>
                <wp:docPr id="28" name="Frame8"/>
                <a:graphic xmlns:a="http://schemas.openxmlformats.org/drawingml/2006/main">
                  <a:graphicData uri="http://schemas.microsoft.com/office/word/2010/wordprocessingShape">
                    <wps:wsp>
                      <wps:cNvSpPr txBox="1"/>
                      <wps:spPr>
                        <a:xfrm>
                          <a:off x="0" y="0"/>
                          <a:ext cx="365760" cy="247015"/>
                        </a:xfrm>
                        <a:prstGeom prst="rect"/>
                        <a:solidFill>
                          <a:srgbClr val="C0C0C0"/>
                        </a:solidFill>
                        <a:ln w="9525">
                          <a:solidFill>
                            <a:srgbClr val="000000"/>
                          </a:solidFill>
                        </a:ln>
                      </wps:spPr>
                      <wps:txbx>
                        <w:txbxContent>
                          <w:p>
                            <w:pPr>
                              <w:pStyle w:val="Normal"/>
                              <w:jc w:val="center"/>
                              <w:rPr>
                                <w:b/>
                              </w:rPr>
                            </w:pPr>
                            <w:r>
                              <w:rPr>
                                <w:b/>
                              </w:rPr>
                              <w:t>ST</w:t>
                            </w:r>
                          </w:p>
                        </w:txbxContent>
                      </wps:txbx>
                      <wps:bodyPr anchor="t" lIns="0" tIns="36830" rIns="0" bIns="45720">
                        <a:noAutofit/>
                      </wps:bodyPr>
                    </wps:wsp>
                  </a:graphicData>
                </a:graphic>
              </wp:anchor>
            </w:drawing>
          </mc:Choice>
          <mc:Fallback>
            <w:pict>
              <v:rect fillcolor="#C0C0C0" strokecolor="#000000" strokeweight="0pt" style="position:absolute;rotation:-0;width:28.8pt;height:19.45pt;mso-wrap-distance-left:9.05pt;mso-wrap-distance-right:9.05pt;mso-wrap-distance-top:0pt;mso-wrap-distance-bottom:0pt;margin-top:241.6pt;mso-position-vertical-relative:text;margin-left:156.05pt;mso-position-horizontal-relative:text">
                <v:textbox inset="0in,0.0402777777777778in,0in">
                  <w:txbxContent>
                    <w:p>
                      <w:pPr>
                        <w:pStyle w:val="Normal"/>
                        <w:jc w:val="center"/>
                        <w:rPr>
                          <w:b/>
                        </w:rPr>
                      </w:pPr>
                      <w:r>
                        <w:rPr>
                          <w:b/>
                        </w:rPr>
                        <w:t>ST</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721995</wp:posOffset>
                </wp:positionH>
                <wp:positionV relativeFrom="paragraph">
                  <wp:posOffset>368935</wp:posOffset>
                </wp:positionV>
                <wp:extent cx="1659255" cy="253365"/>
                <wp:effectExtent l="0" t="0" r="0" b="0"/>
                <wp:wrapNone/>
                <wp:docPr id="29" name="Frame11"/>
                <a:graphic xmlns:a="http://schemas.openxmlformats.org/drawingml/2006/main">
                  <a:graphicData uri="http://schemas.microsoft.com/office/word/2010/wordprocessingShape">
                    <wps:wsp>
                      <wps:cNvSpPr txBox="1"/>
                      <wps:spPr>
                        <a:xfrm>
                          <a:off x="0" y="0"/>
                          <a:ext cx="1659255" cy="253365"/>
                        </a:xfrm>
                        <a:prstGeom prst="rect"/>
                        <a:solidFill>
                          <a:srgbClr val="C0C0C0"/>
                        </a:solidFill>
                        <a:ln w="9525">
                          <a:solidFill>
                            <a:srgbClr val="000000"/>
                          </a:solidFill>
                        </a:ln>
                      </wps:spPr>
                      <wps:txbx>
                        <w:txbxContent>
                          <w:p>
                            <w:pPr>
                              <w:pStyle w:val="Heading4"/>
                              <w:ind w:hanging="0" w:start="0"/>
                              <w:rPr/>
                            </w:pPr>
                            <w:r>
                              <w:rPr/>
                              <w:t xml:space="preserve">ISA – Interchange Control </w:t>
                            </w:r>
                          </w:p>
                        </w:txbxContent>
                      </wps:txbx>
                      <wps:bodyPr anchor="t" lIns="91440" tIns="45720" rIns="91440" bIns="45720">
                        <a:noAutofit/>
                      </wps:bodyPr>
                    </wps:wsp>
                  </a:graphicData>
                </a:graphic>
              </wp:anchor>
            </w:drawing>
          </mc:Choice>
          <mc:Fallback>
            <w:pict>
              <v:rect fillcolor="#C0C0C0" strokecolor="#000000" strokeweight="0pt" style="position:absolute;rotation:-0;width:130.65pt;height:19.95pt;mso-wrap-distance-left:9.05pt;mso-wrap-distance-right:9.05pt;mso-wrap-distance-top:0pt;mso-wrap-distance-bottom:0pt;margin-top:29.05pt;mso-position-vertical-relative:text;margin-left:56.85pt;mso-position-horizontal-relative:text">
                <v:textbox>
                  <w:txbxContent>
                    <w:p>
                      <w:pPr>
                        <w:pStyle w:val="Heading4"/>
                        <w:ind w:hanging="0" w:start="0"/>
                        <w:rPr/>
                      </w:pPr>
                      <w:r>
                        <w:rPr/>
                        <w:t xml:space="preserve">ISA – Interchange Control </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1146810</wp:posOffset>
                </wp:positionH>
                <wp:positionV relativeFrom="paragraph">
                  <wp:posOffset>897255</wp:posOffset>
                </wp:positionV>
                <wp:extent cx="1516380" cy="249555"/>
                <wp:effectExtent l="0" t="0" r="0" b="0"/>
                <wp:wrapNone/>
                <wp:docPr id="30" name="Frame10"/>
                <a:graphic xmlns:a="http://schemas.openxmlformats.org/drawingml/2006/main">
                  <a:graphicData uri="http://schemas.microsoft.com/office/word/2010/wordprocessingShape">
                    <wps:wsp>
                      <wps:cNvSpPr txBox="1"/>
                      <wps:spPr>
                        <a:xfrm>
                          <a:off x="0" y="0"/>
                          <a:ext cx="1516380" cy="249555"/>
                        </a:xfrm>
                        <a:prstGeom prst="rect"/>
                        <a:solidFill>
                          <a:srgbClr val="C0C0C0"/>
                        </a:solidFill>
                        <a:ln w="9525">
                          <a:solidFill>
                            <a:srgbClr val="000000"/>
                          </a:solidFill>
                        </a:ln>
                      </wps:spPr>
                      <wps:txbx>
                        <w:txbxContent>
                          <w:p>
                            <w:pPr>
                              <w:pStyle w:val="Heading4"/>
                              <w:ind w:hanging="0" w:start="0"/>
                              <w:rPr/>
                            </w:pPr>
                            <w:r>
                              <w:rPr/>
                              <w:t>GS – functional group</w:t>
                            </w:r>
                          </w:p>
                        </w:txbxContent>
                      </wps:txbx>
                      <wps:bodyPr anchor="t" lIns="91440" tIns="45720" rIns="91440" bIns="45720">
                        <a:noAutofit/>
                      </wps:bodyPr>
                    </wps:wsp>
                  </a:graphicData>
                </a:graphic>
              </wp:anchor>
            </w:drawing>
          </mc:Choice>
          <mc:Fallback>
            <w:pict>
              <v:rect fillcolor="#C0C0C0" strokecolor="#000000" strokeweight="0pt" style="position:absolute;rotation:-0;width:119.4pt;height:19.65pt;mso-wrap-distance-left:9.05pt;mso-wrap-distance-right:9.05pt;mso-wrap-distance-top:0pt;mso-wrap-distance-bottom:0pt;margin-top:70.65pt;mso-position-vertical-relative:text;margin-left:90.3pt;mso-position-horizontal-relative:text">
                <v:textbox>
                  <w:txbxContent>
                    <w:p>
                      <w:pPr>
                        <w:pStyle w:val="Heading4"/>
                        <w:ind w:hanging="0" w:start="0"/>
                        <w:rPr/>
                      </w:pPr>
                      <w:r>
                        <w:rPr/>
                        <w:t>GS – functional group</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2007235</wp:posOffset>
                </wp:positionH>
                <wp:positionV relativeFrom="paragraph">
                  <wp:posOffset>1458595</wp:posOffset>
                </wp:positionV>
                <wp:extent cx="1292225" cy="248285"/>
                <wp:effectExtent l="0" t="0" r="0" b="0"/>
                <wp:wrapNone/>
                <wp:docPr id="31" name="Frame9"/>
                <a:graphic xmlns:a="http://schemas.openxmlformats.org/drawingml/2006/main">
                  <a:graphicData uri="http://schemas.microsoft.com/office/word/2010/wordprocessingShape">
                    <wps:wsp>
                      <wps:cNvSpPr txBox="1"/>
                      <wps:spPr>
                        <a:xfrm>
                          <a:off x="0" y="0"/>
                          <a:ext cx="1292225" cy="248285"/>
                        </a:xfrm>
                        <a:prstGeom prst="rect"/>
                        <a:solidFill>
                          <a:srgbClr val="C0C0C0"/>
                        </a:solidFill>
                        <a:ln w="9525">
                          <a:solidFill>
                            <a:srgbClr val="000000"/>
                          </a:solidFill>
                        </a:ln>
                      </wps:spPr>
                      <wps:txbx>
                        <w:txbxContent>
                          <w:p>
                            <w:pPr>
                              <w:pStyle w:val="Heading4"/>
                              <w:ind w:hanging="0" w:start="0"/>
                              <w:rPr/>
                            </w:pPr>
                            <w:r>
                              <w:rPr/>
                              <w:t>ST – transaction set</w:t>
                            </w:r>
                          </w:p>
                        </w:txbxContent>
                      </wps:txbx>
                      <wps:bodyPr anchor="t" lIns="91440" tIns="45720" rIns="91440" bIns="45720">
                        <a:noAutofit/>
                      </wps:bodyPr>
                    </wps:wsp>
                  </a:graphicData>
                </a:graphic>
              </wp:anchor>
            </w:drawing>
          </mc:Choice>
          <mc:Fallback>
            <w:pict>
              <v:rect fillcolor="#C0C0C0" strokecolor="#000000" strokeweight="0pt" style="position:absolute;rotation:-0;width:101.75pt;height:19.55pt;mso-wrap-distance-left:9.05pt;mso-wrap-distance-right:9.05pt;mso-wrap-distance-top:0pt;mso-wrap-distance-bottom:0pt;margin-top:114.85pt;mso-position-vertical-relative:text;margin-left:158.05pt;mso-position-horizontal-relative:text">
                <v:textbox>
                  <w:txbxContent>
                    <w:p>
                      <w:pPr>
                        <w:pStyle w:val="Heading4"/>
                        <w:ind w:hanging="0" w:start="0"/>
                        <w:rPr/>
                      </w:pPr>
                      <w:r>
                        <w:rPr/>
                        <w:t>ST – transaction set</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34">
                <wp:simplePos x="0" y="0"/>
                <wp:positionH relativeFrom="column">
                  <wp:posOffset>-60960</wp:posOffset>
                </wp:positionH>
                <wp:positionV relativeFrom="paragraph">
                  <wp:posOffset>-426720</wp:posOffset>
                </wp:positionV>
                <wp:extent cx="2514600" cy="353060"/>
                <wp:effectExtent l="0" t="0" r="0" b="0"/>
                <wp:wrapNone/>
                <wp:docPr id="32" name="Frame13"/>
                <a:graphic xmlns:a="http://schemas.openxmlformats.org/drawingml/2006/main">
                  <a:graphicData uri="http://schemas.microsoft.com/office/word/2010/wordprocessingShape">
                    <wps:wsp>
                      <wps:cNvSpPr txBox="1"/>
                      <wps:spPr>
                        <a:xfrm>
                          <a:off x="0" y="0"/>
                          <a:ext cx="2514600" cy="353060"/>
                        </a:xfrm>
                        <a:prstGeom prst="rect"/>
                        <a:solidFill>
                          <a:srgbClr val="FFFFFF">
                            <a:alpha val="0"/>
                          </a:srgbClr>
                        </a:solidFill>
                      </wps:spPr>
                      <wps:txbx>
                        <w:txbxContent>
                          <w:p>
                            <w:pPr>
                              <w:pStyle w:val="Normal"/>
                              <w:rPr>
                                <w:b/>
                                <w:sz w:val="28"/>
                              </w:rPr>
                            </w:pPr>
                            <w:r>
                              <w:rPr>
                                <w:b/>
                                <w:sz w:val="28"/>
                              </w:rPr>
                              <w:t>III. ENVELOPING</w:t>
                            </w:r>
                          </w:p>
                        </w:txbxContent>
                      </wps:txbx>
                      <wps:bodyPr anchor="t" lIns="92075" tIns="46355" rIns="92075" bIns="46355">
                        <a:noAutofit/>
                      </wps:bodyPr>
                    </wps:wsp>
                  </a:graphicData>
                </a:graphic>
              </wp:anchor>
            </w:drawing>
          </mc:Choice>
          <mc:Fallback>
            <w:pict>
              <v:rect fillcolor="#FFFFFF" style="position:absolute;rotation:-0;width:198pt;height:27.8pt;mso-wrap-distance-left:9.05pt;mso-wrap-distance-right:9.05pt;mso-wrap-distance-top:0pt;mso-wrap-distance-bottom:0pt;margin-top:-33.6pt;mso-position-vertical-relative:text;margin-left:-4.8pt;mso-position-horizontal-relative:text">
                <v:fill opacity="0f"/>
                <v:textbox inset="0.100694444444444in,0.0506944444444444in,0.100694444444444in,0.0506944444444444in">
                  <w:txbxContent>
                    <w:p>
                      <w:pPr>
                        <w:pStyle w:val="Normal"/>
                        <w:rPr>
                          <w:b/>
                          <w:sz w:val="28"/>
                        </w:rPr>
                      </w:pPr>
                      <w:r>
                        <w:rPr>
                          <w:b/>
                          <w:sz w:val="28"/>
                        </w:rPr>
                        <w:t>III. ENVELOPING</w:t>
                      </w:r>
                    </w:p>
                  </w:txbxContent>
                </v:textbox>
                <w10:wrap type="none"/>
              </v:rect>
            </w:pict>
          </mc:Fallback>
        </mc:AlternateContent>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2">
                <wp:simplePos x="0" y="0"/>
                <wp:positionH relativeFrom="column">
                  <wp:posOffset>1928495</wp:posOffset>
                </wp:positionH>
                <wp:positionV relativeFrom="paragraph">
                  <wp:posOffset>19685</wp:posOffset>
                </wp:positionV>
                <wp:extent cx="274320" cy="1041400"/>
                <wp:effectExtent l="0" t="5080" r="635" b="5715"/>
                <wp:wrapNone/>
                <wp:docPr id="33" name=""/>
                <a:graphic xmlns:a="http://schemas.openxmlformats.org/drawingml/2006/main">
                  <a:graphicData uri="http://schemas.microsoft.com/office/word/2010/wordprocessingShape">
                    <wps:wsp>
                      <wps:cNvSpPr/>
                      <wps:spPr>
                        <a:xfrm>
                          <a:off x="0" y="0"/>
                          <a:ext cx="274320" cy="1041480"/>
                        </a:xfrm>
                        <a:custGeom>
                          <a:avLst/>
                          <a:gdLst>
                            <a:gd name="textAreaLeft" fmla="*/ 99360 w 155520"/>
                            <a:gd name="textAreaRight" fmla="*/ 155520 w 155520"/>
                            <a:gd name="textAreaTop" fmla="*/ 15120 h 590400"/>
                            <a:gd name="textAreaBottom" fmla="*/ 575280 h 5904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151.85pt;margin-top:1.55pt;width:21.55pt;height:81.95pt;mso-wrap-style:none;v-text-anchor:middle" type="_x0000_t87">
                <v:fill o:detectmouseclick="t" on="fals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41">
                <wp:simplePos x="0" y="0"/>
                <wp:positionH relativeFrom="column">
                  <wp:posOffset>2066925</wp:posOffset>
                </wp:positionH>
                <wp:positionV relativeFrom="paragraph">
                  <wp:posOffset>76200</wp:posOffset>
                </wp:positionV>
                <wp:extent cx="1463040" cy="962025"/>
                <wp:effectExtent l="0" t="0" r="0" b="0"/>
                <wp:wrapNone/>
                <wp:docPr id="34" name="Frame14"/>
                <a:graphic xmlns:a="http://schemas.openxmlformats.org/drawingml/2006/main">
                  <a:graphicData uri="http://schemas.microsoft.com/office/word/2010/wordprocessingShape">
                    <wps:wsp>
                      <wps:cNvSpPr txBox="1"/>
                      <wps:spPr>
                        <a:xfrm>
                          <a:off x="0" y="0"/>
                          <a:ext cx="1463040" cy="962025"/>
                        </a:xfrm>
                        <a:prstGeom prst="rect"/>
                        <a:solidFill>
                          <a:srgbClr val="FFFFFF">
                            <a:alpha val="0"/>
                          </a:srgbClr>
                        </a:solidFill>
                      </wps:spPr>
                      <wps:txbx>
                        <w:txbxContent>
                          <w:p>
                            <w:pPr>
                              <w:pStyle w:val="Normal"/>
                              <w:rPr/>
                            </w:pPr>
                            <w:r>
                              <w:rPr/>
                              <w:t xml:space="preserve">App. Level Primary ID (i.e. BGN; BPT, BIG) </w:t>
                            </w:r>
                          </w:p>
                          <w:p>
                            <w:pPr>
                              <w:pStyle w:val="Normal"/>
                              <w:rPr/>
                            </w:pPr>
                            <w:r>
                              <w:rPr/>
                            </w:r>
                          </w:p>
                          <w:p>
                            <w:pPr>
                              <w:pStyle w:val="BodyTextIndent"/>
                              <w:rPr/>
                            </w:pPr>
                            <w:r>
                              <w:rPr/>
                              <w:t>App. Level Secondary ID (i.e. LIN)</w:t>
                            </w:r>
                          </w:p>
                        </w:txbxContent>
                      </wps:txbx>
                      <wps:bodyPr anchor="t" lIns="92075" tIns="46355" rIns="92075" bIns="46355">
                        <a:noAutofit/>
                      </wps:bodyPr>
                    </wps:wsp>
                  </a:graphicData>
                </a:graphic>
              </wp:anchor>
            </w:drawing>
          </mc:Choice>
          <mc:Fallback>
            <w:pict>
              <v:rect fillcolor="#FFFFFF" style="position:absolute;rotation:-0;width:115.2pt;height:75.75pt;mso-wrap-distance-left:9.05pt;mso-wrap-distance-right:9.05pt;mso-wrap-distance-top:0pt;mso-wrap-distance-bottom:0pt;margin-top:6pt;mso-position-vertical-relative:text;margin-left:162.75pt;mso-position-horizontal-relative:text">
                <v:fill opacity="0f"/>
                <v:textbox inset="0.100694444444444in,0.0506944444444444in,0.100694444444444in,0.0506944444444444in">
                  <w:txbxContent>
                    <w:p>
                      <w:pPr>
                        <w:pStyle w:val="Normal"/>
                        <w:rPr/>
                      </w:pPr>
                      <w:r>
                        <w:rPr/>
                        <w:t xml:space="preserve">App. Level Primary ID (i.e. BGN; BPT, BIG) </w:t>
                      </w:r>
                    </w:p>
                    <w:p>
                      <w:pPr>
                        <w:pStyle w:val="Normal"/>
                        <w:rPr/>
                      </w:pPr>
                      <w:r>
                        <w:rPr/>
                      </w:r>
                    </w:p>
                    <w:p>
                      <w:pPr>
                        <w:pStyle w:val="BodyTextIndent"/>
                        <w:rPr/>
                      </w:pPr>
                      <w:r>
                        <w:rPr/>
                        <w:t>App. Level Secondary ID (i.e. LIN)</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4"/>
        </w:rPr>
      </w:pPr>
      <w:r>
        <w:rPr>
          <w:b/>
          <w:sz w:val="24"/>
        </w:rPr>
        <w:t>Enveloping Rules:</w:t>
      </w:r>
    </w:p>
    <w:p>
      <w:pPr>
        <w:pStyle w:val="Normal"/>
        <w:rPr>
          <w:b/>
          <w:sz w:val="24"/>
        </w:rPr>
      </w:pPr>
      <w:r>
        <w:rPr>
          <w:b/>
          <w:sz w:val="24"/>
        </w:rPr>
      </w:r>
    </w:p>
    <w:p>
      <w:pPr>
        <w:pStyle w:val="BodyText2"/>
        <w:rPr/>
      </w:pPr>
      <w:r>
        <w:rPr/>
        <w:t xml:space="preserve">All EDI enveloping shall conform to ANSI X12 standards.  The following are additional rules endorsed by the New York EDI Collaborative. However, parties may enter into trading partner arrangements in which variations of these rules may be agreed to.   </w:t>
        <w:br/>
      </w:r>
    </w:p>
    <w:p>
      <w:pPr>
        <w:pStyle w:val="Normal"/>
        <w:numPr>
          <w:ilvl w:val="0"/>
          <w:numId w:val="26"/>
        </w:numPr>
        <w:tabs>
          <w:tab w:val="left" w:pos="720" w:leader="none"/>
        </w:tabs>
        <w:ind w:hanging="360" w:start="720" w:end="0"/>
        <w:rPr>
          <w:color w:val="000000"/>
          <w:sz w:val="24"/>
        </w:rPr>
      </w:pPr>
      <w:r>
        <w:rPr>
          <w:color w:val="000000"/>
          <w:sz w:val="24"/>
        </w:rPr>
        <w:t>One or more data files may be transmitted in an HTTP session.</w:t>
      </w:r>
    </w:p>
    <w:p>
      <w:pPr>
        <w:pStyle w:val="Normal"/>
        <w:numPr>
          <w:ilvl w:val="0"/>
          <w:numId w:val="44"/>
        </w:numPr>
        <w:tabs>
          <w:tab w:val="left" w:pos="720" w:leader="none"/>
        </w:tabs>
        <w:ind w:hanging="360" w:start="720" w:end="0"/>
        <w:rPr>
          <w:sz w:val="24"/>
        </w:rPr>
      </w:pPr>
      <w:r>
        <w:rPr>
          <w:color w:val="000000"/>
          <w:sz w:val="24"/>
        </w:rPr>
        <w:t>Only one ISA (envelope) may be transmitted in a data file</w:t>
      </w:r>
      <w:r>
        <w:rPr>
          <w:sz w:val="24"/>
        </w:rPr>
        <w:t xml:space="preserve"> </w:t>
      </w:r>
    </w:p>
    <w:p>
      <w:pPr>
        <w:pStyle w:val="Normal"/>
        <w:numPr>
          <w:ilvl w:val="0"/>
          <w:numId w:val="44"/>
        </w:numPr>
        <w:tabs>
          <w:tab w:val="left" w:pos="720" w:leader="none"/>
        </w:tabs>
        <w:ind w:hanging="360" w:start="720" w:end="0"/>
        <w:rPr>
          <w:sz w:val="24"/>
        </w:rPr>
      </w:pPr>
      <w:r>
        <w:rPr>
          <w:sz w:val="24"/>
        </w:rPr>
        <w:t>Only one functional group (GS) will be used within an envelope (ISA).</w:t>
      </w:r>
    </w:p>
    <w:p>
      <w:pPr>
        <w:pStyle w:val="Normal"/>
        <w:numPr>
          <w:ilvl w:val="0"/>
          <w:numId w:val="44"/>
        </w:numPr>
        <w:tabs>
          <w:tab w:val="left" w:pos="720" w:leader="none"/>
        </w:tabs>
        <w:ind w:hanging="360" w:start="720" w:end="0"/>
        <w:rPr>
          <w:sz w:val="24"/>
        </w:rPr>
      </w:pPr>
      <w:r>
        <w:rPr>
          <w:sz w:val="24"/>
        </w:rPr>
        <w:t>Multiple transactions (ST) of the same type will be allowed within functional group (GS).  For example, multiple 814 transactions can be included in one functional group/envelope.</w:t>
      </w:r>
      <w:r>
        <w:br w:type="page"/>
      </w:r>
    </w:p>
    <w:p>
      <w:pPr>
        <w:pStyle w:val="Heading5"/>
        <w:ind w:hanging="0" w:start="0"/>
        <w:rPr>
          <w:sz w:val="28"/>
        </w:rPr>
      </w:pPr>
      <w:r>
        <w:rPr>
          <w:sz w:val="28"/>
        </w:rPr>
        <w:t xml:space="preserve">IV. TRACKING MECHANISMS AND IDENTIFIERS </w:t>
        <w:br/>
      </w:r>
    </w:p>
    <w:p>
      <w:pPr>
        <w:pStyle w:val="Normal"/>
        <w:numPr>
          <w:ilvl w:val="0"/>
          <w:numId w:val="13"/>
        </w:numPr>
        <w:tabs>
          <w:tab w:val="clear" w:pos="720"/>
          <w:tab w:val="left" w:pos="-720" w:leader="none"/>
        </w:tabs>
        <w:ind w:hanging="360" w:start="720" w:end="0"/>
        <w:rPr>
          <w:sz w:val="24"/>
        </w:rPr>
      </w:pPr>
      <w:r>
        <w:rPr>
          <w:sz w:val="24"/>
        </w:rPr>
        <w:t>Envelopes/transactions can be fully identified using identifiers from each communications and enveloping layer.  This information will be used on a discretionary basis by operational staff for transaction control.</w:t>
        <w:br/>
      </w:r>
    </w:p>
    <w:p>
      <w:pPr>
        <w:pStyle w:val="Normal"/>
        <w:numPr>
          <w:ilvl w:val="0"/>
          <w:numId w:val="13"/>
        </w:numPr>
        <w:tabs>
          <w:tab w:val="clear" w:pos="720"/>
          <w:tab w:val="left" w:pos="-720" w:leader="none"/>
        </w:tabs>
        <w:ind w:hanging="360" w:start="720" w:end="0"/>
        <w:rPr>
          <w:sz w:val="24"/>
        </w:rPr>
      </w:pPr>
      <w:r>
        <w:rPr>
          <w:sz w:val="24"/>
        </w:rPr>
        <w:t>The following table describes the logical unique identifier string by concatenating the key values of each layer (i.e. TP#||TIMSTAMP||ISA#||GS#||ST#||</w:t>
      </w:r>
      <w:r>
        <w:rPr>
          <w:i/>
          <w:sz w:val="24"/>
        </w:rPr>
        <w:t>xxx</w:t>
      </w:r>
      <w:r>
        <w:rPr>
          <w:sz w:val="24"/>
        </w:rPr>
        <w:t>#||</w:t>
      </w:r>
      <w:r>
        <w:rPr>
          <w:i/>
          <w:sz w:val="24"/>
        </w:rPr>
        <w:t>yyy</w:t>
      </w:r>
      <w:r>
        <w:rPr>
          <w:sz w:val="24"/>
        </w:rPr>
        <w:t>#).  The Collaborative recommends maintaining the GS# in the logical identifier string for future use and scalability.</w:t>
      </w:r>
    </w:p>
    <w:p>
      <w:pPr>
        <w:pStyle w:val="Normal"/>
        <w:ind w:start="360" w:end="0"/>
        <w:rPr>
          <w:sz w:val="24"/>
        </w:rPr>
      </w:pPr>
      <w:r>
        <w:rPr>
          <w:sz w:val="24"/>
        </w:rPr>
      </w:r>
    </w:p>
    <w:tbl>
      <w:tblPr>
        <w:tblW w:w="8280" w:type="dxa"/>
        <w:jc w:val="start"/>
        <w:tblInd w:w="828" w:type="dxa"/>
        <w:tblLayout w:type="fixed"/>
        <w:tblCellMar>
          <w:top w:w="0" w:type="dxa"/>
          <w:start w:w="108" w:type="dxa"/>
          <w:bottom w:w="0" w:type="dxa"/>
          <w:end w:w="108" w:type="dxa"/>
        </w:tblCellMar>
      </w:tblPr>
      <w:tblGrid>
        <w:gridCol w:w="2430"/>
        <w:gridCol w:w="2970"/>
        <w:gridCol w:w="288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TP#</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Trading Partner identifier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Communications layer</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TIMSTAMP</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Date &amp; Time stamp</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Communications layer</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ISA#</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Interchange control #</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ISA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GS#</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Group Control #</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Transaction set control #</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pPr>
            <w:r>
              <w:rPr>
                <w:i/>
                <w:sz w:val="24"/>
              </w:rPr>
              <w:t>xxx</w:t>
            </w:r>
            <w:r>
              <w:rPr>
                <w:sz w:val="24"/>
              </w:rPr>
              <w:t># (transaction specific)</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Application level primary identifier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 814 – BGN</w:t>
              <w:br/>
              <w:t xml:space="preserve">      810 – BIG</w:t>
              <w:br/>
              <w:t xml:space="preserve">      867 – BPT</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pPr>
            <w:r>
              <w:rPr>
                <w:i/>
                <w:sz w:val="24"/>
              </w:rPr>
              <w:t>yyy</w:t>
            </w:r>
            <w:r>
              <w:rPr>
                <w:sz w:val="24"/>
              </w:rPr>
              <w:t># (transaction specific as required)</w:t>
            </w:r>
          </w:p>
        </w:tc>
        <w:tc>
          <w:tcPr>
            <w:tcW w:w="29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Application level secondary identifier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 814 – LIN</w:t>
            </w:r>
          </w:p>
        </w:tc>
      </w:tr>
    </w:tbl>
    <w:p>
      <w:pPr>
        <w:pStyle w:val="Normal"/>
        <w:ind w:start="360" w:end="0"/>
        <w:rPr>
          <w:sz w:val="24"/>
        </w:rPr>
      </w:pPr>
      <w:r>
        <w:rPr>
          <w:sz w:val="24"/>
        </w:rPr>
      </w:r>
    </w:p>
    <w:p>
      <w:pPr>
        <w:pStyle w:val="Normal"/>
        <w:numPr>
          <w:ilvl w:val="0"/>
          <w:numId w:val="13"/>
        </w:numPr>
        <w:tabs>
          <w:tab w:val="left" w:pos="720" w:leader="none"/>
        </w:tabs>
        <w:ind w:hanging="360" w:start="720" w:end="0"/>
        <w:rPr>
          <w:sz w:val="24"/>
        </w:rPr>
      </w:pPr>
      <w:r>
        <w:rPr>
          <w:sz w:val="24"/>
        </w:rPr>
        <w:t xml:space="preserve">Application back end systems require only the application level identifiers for transaction identification and control at the applications level. </w:t>
        <w:br/>
      </w:r>
    </w:p>
    <w:p>
      <w:pPr>
        <w:pStyle w:val="Normal"/>
        <w:numPr>
          <w:ilvl w:val="0"/>
          <w:numId w:val="13"/>
        </w:numPr>
        <w:tabs>
          <w:tab w:val="clear" w:pos="720"/>
          <w:tab w:val="left" w:pos="-720" w:leader="none"/>
        </w:tabs>
        <w:ind w:hanging="360" w:start="720" w:end="0"/>
        <w:rPr>
          <w:sz w:val="24"/>
        </w:rPr>
      </w:pPr>
      <w:r>
        <w:rPr>
          <w:sz w:val="24"/>
        </w:rPr>
        <w:t>The application level primary and secondary identifiers must also guarantee uniqueness at the application level.  The transaction initiator has responsibility for assigning unique identifiers.</w:t>
        <w:br/>
      </w:r>
    </w:p>
    <w:p>
      <w:pPr>
        <w:pStyle w:val="Normal"/>
        <w:numPr>
          <w:ilvl w:val="0"/>
          <w:numId w:val="13"/>
        </w:numPr>
        <w:tabs>
          <w:tab w:val="clear" w:pos="720"/>
          <w:tab w:val="left" w:pos="-720" w:leader="none"/>
        </w:tabs>
        <w:ind w:hanging="360" w:start="720" w:end="0"/>
        <w:rPr>
          <w:sz w:val="24"/>
        </w:rPr>
      </w:pPr>
      <w:r>
        <w:rPr>
          <w:sz w:val="24"/>
        </w:rPr>
        <w:t xml:space="preserve">Identifier length: UIG X12 specifies only maximum length; lengths can vary up to the maximum. </w:t>
        <w:br/>
      </w:r>
    </w:p>
    <w:p>
      <w:pPr>
        <w:pStyle w:val="Normal"/>
        <w:rPr>
          <w:sz w:val="24"/>
        </w:rPr>
      </w:pPr>
      <w:r>
        <w:rPr>
          <w:sz w:val="24"/>
        </w:rPr>
      </w:r>
    </w:p>
    <w:p>
      <w:pPr>
        <w:pStyle w:val="Normal"/>
        <w:rPr/>
      </w:pPr>
      <w:r>
        <w:rPr/>
      </w:r>
    </w:p>
    <w:p>
      <w:pPr>
        <w:pStyle w:val="Heading5"/>
        <w:ind w:hanging="0" w:start="-360" w:end="0"/>
        <w:rPr>
          <w:sz w:val="28"/>
        </w:rPr>
      </w:pPr>
      <w:r>
        <w:rPr>
          <w:sz w:val="28"/>
        </w:rPr>
        <w:t>IV.  OTHER</w:t>
      </w:r>
    </w:p>
    <w:p>
      <w:pPr>
        <w:pStyle w:val="Normal"/>
        <w:rPr>
          <w:sz w:val="28"/>
        </w:rPr>
      </w:pPr>
      <w:r>
        <w:rPr>
          <w:sz w:val="28"/>
        </w:rPr>
      </w:r>
    </w:p>
    <w:p>
      <w:pPr>
        <w:pStyle w:val="Heading5"/>
        <w:ind w:firstLine="720" w:start="-360" w:end="0"/>
        <w:rPr/>
      </w:pPr>
      <w:r>
        <w:rPr/>
        <w:t>Archiving &amp; Auditing</w:t>
      </w:r>
    </w:p>
    <w:p>
      <w:pPr>
        <w:pStyle w:val="Normal"/>
        <w:numPr>
          <w:ilvl w:val="0"/>
          <w:numId w:val="12"/>
        </w:numPr>
        <w:tabs>
          <w:tab w:val="clear" w:pos="720"/>
          <w:tab w:val="left" w:pos="-1080" w:leader="none"/>
        </w:tabs>
        <w:ind w:hanging="360" w:start="720" w:end="0"/>
        <w:rPr>
          <w:sz w:val="24"/>
        </w:rPr>
      </w:pPr>
      <w:r>
        <w:rPr>
          <w:sz w:val="24"/>
        </w:rPr>
        <w:t>Companies must meet all archival and auditing conditions including financial record keeping requirements, PSC requirements, and any other jurisdictional or internal company requirements.</w:t>
      </w:r>
    </w:p>
    <w:p>
      <w:pPr>
        <w:pStyle w:val="Normal"/>
        <w:rPr>
          <w:sz w:val="24"/>
        </w:rPr>
      </w:pPr>
      <w:r>
        <w:rPr>
          <w:sz w:val="24"/>
        </w:rPr>
      </w:r>
    </w:p>
    <w:p>
      <w:pPr>
        <w:pStyle w:val="Normal"/>
        <w:rPr/>
      </w:pPr>
      <w:r>
        <w:rPr/>
      </w:r>
    </w:p>
    <w:p>
      <w:pPr>
        <w:pStyle w:val="Normal"/>
        <w:rPr/>
      </w:pPr>
      <w:r>
        <w:rPr/>
      </w:r>
    </w:p>
    <w:p>
      <w:pPr>
        <w:pStyle w:val="Header"/>
        <w:tabs>
          <w:tab w:val="clear" w:pos="4320"/>
          <w:tab w:val="clear" w:pos="8640"/>
        </w:tabs>
        <w:rPr>
          <w:b/>
          <w:i/>
          <w:i/>
          <w:color w:val="000000"/>
          <w:sz w:val="24"/>
        </w:rPr>
      </w:pPr>
      <w:r>
        <w:rPr>
          <w:b/>
          <w:i/>
          <w:color w:val="000000"/>
          <w:sz w:val="24"/>
        </w:rPr>
      </w:r>
      <w:r>
        <w:br w:type="page"/>
      </w:r>
    </w:p>
    <w:p>
      <w:pPr>
        <w:pStyle w:val="Heading2"/>
        <w:ind w:hanging="2070" w:start="2070" w:end="0"/>
        <w:rPr/>
      </w:pPr>
      <w:bookmarkStart w:id="18" w:name="__RefHeading___Toc504980679"/>
      <w:bookmarkEnd w:id="18"/>
      <w:r>
        <w:rPr/>
        <w:t xml:space="preserve">Appendix C: Relevant Sections of the GISB EDM, </w:t>
        <w:br/>
        <w:t>Version 1.4</w:t>
      </w:r>
    </w:p>
    <w:p>
      <w:pPr>
        <w:pStyle w:val="Normal"/>
        <w:rPr>
          <w:u w:val="single"/>
        </w:rPr>
      </w:pPr>
      <w:r>
        <w:rPr>
          <w:u w:val="single"/>
        </w:rPr>
      </w:r>
    </w:p>
    <w:p>
      <w:pPr>
        <w:pStyle w:val="Normal"/>
        <w:rPr>
          <w:sz w:val="24"/>
        </w:rPr>
      </w:pPr>
      <w:r>
        <w:rPr>
          <w:sz w:val="24"/>
        </w:rPr>
        <w:t>Based on review of the GISB EDM Version 1.4, the following sections were determined to be relevant and controlling for implementation of New York’s DTM:</w:t>
        <w:br/>
      </w:r>
    </w:p>
    <w:p>
      <w:pPr>
        <w:pStyle w:val="List"/>
        <w:numPr>
          <w:ilvl w:val="0"/>
          <w:numId w:val="60"/>
        </w:numPr>
        <w:rPr>
          <w:rFonts w:ascii="Times New Roman" w:hAnsi="Times New Roman" w:cs="Times New Roman"/>
        </w:rPr>
      </w:pPr>
      <w:r>
        <w:rPr>
          <w:rFonts w:cs="Times New Roman" w:ascii="Times New Roman" w:hAnsi="Times New Roman"/>
        </w:rPr>
        <w:t>In the Section entitled BUSINESS PROCESS AND PRACTICES, Subsection C. Electronic Delivery Mechanism Related Standards, the Sub-Subsection entitled Standards: Standards 4.3.7 through 4.3.15 inclusive.</w:t>
        <w:br/>
      </w:r>
    </w:p>
    <w:p>
      <w:pPr>
        <w:pStyle w:val="List"/>
        <w:numPr>
          <w:ilvl w:val="0"/>
          <w:numId w:val="5"/>
        </w:numPr>
        <w:rPr>
          <w:rFonts w:ascii="Times New Roman" w:hAnsi="Times New Roman" w:cs="Times New Roman"/>
        </w:rPr>
      </w:pPr>
      <w:r>
        <w:rPr>
          <w:rFonts w:cs="Times New Roman" w:ascii="Times New Roman" w:hAnsi="Times New Roman"/>
        </w:rPr>
        <w:t>The Section entitled TECHNICAL IMPLEMENTATION - INTERNET EDI/EDM &amp; BATCH FF/EDM, subject to the following modifications and clarifications:</w:t>
      </w:r>
    </w:p>
    <w:p>
      <w:pPr>
        <w:pStyle w:val="Normal"/>
        <w:autoSpaceDE w:val="false"/>
        <w:ind w:hanging="540" w:start="900" w:end="0"/>
        <w:rPr>
          <w:sz w:val="24"/>
        </w:rPr>
      </w:pPr>
      <w:r>
        <w:rPr>
          <w:sz w:val="24"/>
        </w:rPr>
        <w:t xml:space="preserve">2.1 - </w:t>
        <w:tab/>
        <w:t>Ignore all references to "BATCH FF/EDM", "FF/EDM", "deadlines", "pipelines", and "nominations".</w:t>
      </w:r>
    </w:p>
    <w:p>
      <w:pPr>
        <w:pStyle w:val="Normal"/>
        <w:autoSpaceDE w:val="false"/>
        <w:ind w:hanging="540" w:start="900" w:end="0"/>
        <w:rPr>
          <w:i/>
          <w:i/>
          <w:sz w:val="24"/>
        </w:rPr>
      </w:pPr>
      <w:r>
        <w:rPr>
          <w:sz w:val="24"/>
        </w:rPr>
        <w:t xml:space="preserve">2.2 - </w:t>
        <w:tab/>
        <w:t>In the Data Dictionary For Internet EDI, the Format of the Business Name transaction-set refers to specific 8-character codes which are not relevant for our purposes</w:t>
      </w:r>
      <w:r>
        <w:rPr>
          <w:sz w:val="24"/>
          <w:highlight w:val="yellow"/>
        </w:rPr>
        <w:t xml:space="preserve">.  </w:t>
      </w:r>
      <w:r>
        <w:rPr>
          <w:i/>
          <w:sz w:val="24"/>
          <w:highlight w:val="yellow"/>
        </w:rPr>
        <w:t>The Internet EDI Subgroup will develop a list of relevant codes.</w:t>
      </w:r>
    </w:p>
    <w:p>
      <w:pPr>
        <w:pStyle w:val="Normal"/>
        <w:autoSpaceDE w:val="false"/>
        <w:ind w:hanging="540" w:start="900" w:end="0"/>
        <w:rPr>
          <w:sz w:val="24"/>
        </w:rPr>
      </w:pPr>
      <w:r>
        <w:rPr>
          <w:sz w:val="24"/>
        </w:rPr>
        <w:t xml:space="preserve">2.3 - </w:t>
        <w:tab/>
        <w:t>Under the Subsection entitled SENDING TRANSACTIONS, Sub-Subsection entitled Client Specifications, the reference to Central Time (Central Standard / Central Daylight) should be changed to Eastern Time (Eastern Standard / Eastern Daylight).</w:t>
      </w:r>
    </w:p>
    <w:p>
      <w:pPr>
        <w:pStyle w:val="Normal"/>
        <w:autoSpaceDE w:val="false"/>
        <w:ind w:hanging="540" w:start="900" w:end="0"/>
        <w:rPr>
          <w:sz w:val="24"/>
        </w:rPr>
      </w:pPr>
      <w:r>
        <w:rPr>
          <w:sz w:val="24"/>
        </w:rPr>
        <w:t xml:space="preserve">2.4 - </w:t>
        <w:tab/>
        <w:t>Under the Subsection entitled RECEIVING TRANSACTIONS, the Sub-Subsection entitled URL/CGI Implementation Guidelines is informational in nature only and has no force and effect.  This Sub-Subsection shall not be construed as to impose any requirements on any UTILITY or E/M.</w:t>
      </w:r>
    </w:p>
    <w:p>
      <w:pPr>
        <w:pStyle w:val="Normal"/>
        <w:autoSpaceDE w:val="false"/>
        <w:ind w:hanging="540" w:start="900" w:end="0"/>
        <w:rPr>
          <w:sz w:val="24"/>
        </w:rPr>
      </w:pPr>
      <w:r>
        <w:rPr>
          <w:sz w:val="24"/>
        </w:rPr>
        <w:t xml:space="preserve">2.5 - </w:t>
        <w:tab/>
        <w:t>Under the Subsection entitled RECEIVING TRANSACTIONS, Sub-Subsection entitled Server Specifications, the reference to Central Time (Central Standard / Central Daylight) should be changed to Eastern Time (Eastern Standard / Eastern Daylight).</w:t>
      </w:r>
    </w:p>
    <w:p>
      <w:pPr>
        <w:pStyle w:val="Normal"/>
        <w:autoSpaceDE w:val="false"/>
        <w:rPr>
          <w:sz w:val="24"/>
        </w:rPr>
      </w:pPr>
      <w:r>
        <w:rPr>
          <w:sz w:val="24"/>
        </w:rPr>
      </w:r>
    </w:p>
    <w:p>
      <w:pPr>
        <w:pStyle w:val="Normal"/>
        <w:numPr>
          <w:ilvl w:val="0"/>
          <w:numId w:val="5"/>
        </w:numPr>
        <w:rPr>
          <w:sz w:val="24"/>
        </w:rPr>
      </w:pPr>
      <w:r>
        <w:rPr>
          <w:sz w:val="24"/>
        </w:rPr>
        <w:t>Appendix A</w:t>
        <w:br/>
      </w:r>
    </w:p>
    <w:p>
      <w:pPr>
        <w:pStyle w:val="Normal"/>
        <w:numPr>
          <w:ilvl w:val="0"/>
          <w:numId w:val="5"/>
        </w:numPr>
        <w:rPr>
          <w:sz w:val="24"/>
        </w:rPr>
      </w:pPr>
      <w:r>
        <w:rPr>
          <w:sz w:val="24"/>
        </w:rPr>
        <w:t>Appendix B</w:t>
      </w:r>
    </w:p>
    <w:p>
      <w:pPr>
        <w:pStyle w:val="Normal"/>
        <w:rPr>
          <w:sz w:val="24"/>
        </w:rPr>
      </w:pPr>
      <w:r>
        <w:rPr>
          <w:sz w:val="24"/>
        </w:rPr>
      </w:r>
    </w:p>
    <w:p>
      <w:pPr>
        <w:pStyle w:val="Normal"/>
        <w:rPr>
          <w:sz w:val="32"/>
        </w:rPr>
      </w:pPr>
      <w:r>
        <w:rPr>
          <w:sz w:val="24"/>
        </w:rPr>
        <w:t xml:space="preserve">The GISB EDM Version 1.4 is available at </w:t>
      </w:r>
      <w:hyperlink r:id="rId2">
        <w:r>
          <w:rPr>
            <w:rStyle w:val="Hyperlink"/>
            <w:sz w:val="24"/>
          </w:rPr>
          <w:t>http://www.gisb.org</w:t>
        </w:r>
      </w:hyperlink>
      <w:r>
        <w:rPr/>
        <w:t>.</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r>
        <w:br w:type="page"/>
      </w:r>
    </w:p>
    <w:p>
      <w:pPr>
        <w:pStyle w:val="Heading2"/>
        <w:ind w:hanging="0" w:start="0"/>
        <w:rPr/>
      </w:pPr>
      <w:bookmarkStart w:id="19" w:name="__RefHeading___Toc504980680"/>
      <w:bookmarkEnd w:id="19"/>
      <w:r>
        <w:rPr/>
        <w:t>Appendix D: Glossary</w:t>
      </w:r>
    </w:p>
    <w:p>
      <w:pPr>
        <w:pStyle w:val="Normal"/>
        <w:rPr>
          <w:sz w:val="32"/>
        </w:rPr>
      </w:pPr>
      <w:r>
        <w:rPr>
          <w:sz w:val="32"/>
        </w:rPr>
      </w:r>
    </w:p>
    <w:p>
      <w:pPr>
        <w:pStyle w:val="Normal"/>
        <w:rPr/>
      </w:pPr>
      <w:r>
        <w:rPr>
          <w:b/>
          <w:i/>
          <w:sz w:val="24"/>
        </w:rPr>
        <w:t>ANSI -</w:t>
      </w:r>
      <w:r>
        <w:rPr>
          <w:sz w:val="24"/>
        </w:rPr>
        <w:t xml:space="preserve"> American National Standards Institute</w:t>
      </w:r>
    </w:p>
    <w:p>
      <w:pPr>
        <w:pStyle w:val="Normal"/>
        <w:rPr>
          <w:b/>
          <w:i/>
          <w:i/>
          <w:sz w:val="24"/>
        </w:rPr>
      </w:pPr>
      <w:r>
        <w:rPr>
          <w:b/>
          <w:i/>
          <w:sz w:val="24"/>
        </w:rPr>
      </w:r>
    </w:p>
    <w:p>
      <w:pPr>
        <w:pStyle w:val="Normal"/>
        <w:rPr/>
      </w:pPr>
      <w:r>
        <w:rPr>
          <w:b/>
          <w:i/>
          <w:sz w:val="24"/>
        </w:rPr>
        <w:t xml:space="preserve">DTM - </w:t>
      </w:r>
      <w:r>
        <w:rPr>
          <w:sz w:val="24"/>
        </w:rPr>
        <w:t>Data Transfer Mechanism</w:t>
      </w:r>
    </w:p>
    <w:p>
      <w:pPr>
        <w:pStyle w:val="BodyText1"/>
        <w:spacing w:before="0" w:after="0"/>
        <w:rPr>
          <w:sz w:val="24"/>
        </w:rPr>
      </w:pPr>
      <w:r>
        <w:rPr>
          <w:sz w:val="24"/>
        </w:rPr>
      </w:r>
    </w:p>
    <w:p>
      <w:pPr>
        <w:pStyle w:val="Normal"/>
        <w:ind w:hanging="2160" w:start="2160" w:end="0"/>
        <w:rPr>
          <w:sz w:val="32"/>
        </w:rPr>
      </w:pPr>
      <w:r>
        <w:rPr>
          <w:b/>
          <w:i/>
          <w:sz w:val="24"/>
        </w:rPr>
        <w:t xml:space="preserve">EDIINT AS2 – </w:t>
      </w:r>
      <w:r>
        <w:rPr>
          <w:sz w:val="24"/>
        </w:rPr>
        <w:t>Internet Engineering Task Force’s (IETF) data exchange specification</w:t>
      </w:r>
    </w:p>
    <w:p>
      <w:pPr>
        <w:pStyle w:val="Normal"/>
        <w:rPr>
          <w:b/>
          <w:i/>
          <w:i/>
          <w:sz w:val="24"/>
        </w:rPr>
      </w:pPr>
      <w:r>
        <w:rPr>
          <w:b/>
          <w:i/>
          <w:sz w:val="24"/>
        </w:rPr>
      </w:r>
    </w:p>
    <w:p>
      <w:pPr>
        <w:pStyle w:val="Normal"/>
        <w:rPr/>
      </w:pPr>
      <w:r>
        <w:rPr>
          <w:b/>
          <w:i/>
          <w:sz w:val="24"/>
        </w:rPr>
        <w:t xml:space="preserve">GISB - </w:t>
      </w:r>
      <w:r>
        <w:rPr>
          <w:sz w:val="24"/>
        </w:rPr>
        <w:t>Gas Industry Standards Board</w:t>
      </w:r>
    </w:p>
    <w:p>
      <w:pPr>
        <w:pStyle w:val="Normal"/>
        <w:rPr>
          <w:sz w:val="24"/>
        </w:rPr>
      </w:pPr>
      <w:r>
        <w:rPr>
          <w:sz w:val="24"/>
        </w:rPr>
      </w:r>
    </w:p>
    <w:p>
      <w:pPr>
        <w:pStyle w:val="Normal"/>
        <w:ind w:hanging="2160" w:start="2160" w:end="0"/>
        <w:rPr/>
      </w:pPr>
      <w:r>
        <w:rPr>
          <w:b/>
          <w:i/>
          <w:sz w:val="24"/>
        </w:rPr>
        <w:t xml:space="preserve">GISB EDM - </w:t>
      </w:r>
      <w:r>
        <w:rPr>
          <w:sz w:val="24"/>
        </w:rPr>
        <w:t>Gas Industry Standards Board’s Electronic Data Mechanism</w:t>
      </w:r>
    </w:p>
    <w:p>
      <w:pPr>
        <w:pStyle w:val="Normal"/>
        <w:ind w:hanging="1440" w:start="1440" w:end="0"/>
        <w:rPr>
          <w:sz w:val="24"/>
        </w:rPr>
      </w:pPr>
      <w:r>
        <w:rPr>
          <w:sz w:val="24"/>
        </w:rPr>
      </w:r>
    </w:p>
    <w:p>
      <w:pPr>
        <w:pStyle w:val="Normal"/>
        <w:ind w:hanging="1440" w:start="1440" w:end="0"/>
        <w:rPr/>
      </w:pPr>
      <w:r>
        <w:rPr>
          <w:b/>
          <w:i/>
          <w:sz w:val="24"/>
        </w:rPr>
        <w:t>UIG</w:t>
      </w:r>
      <w:r>
        <w:rPr>
          <w:sz w:val="24"/>
        </w:rPr>
        <w:t xml:space="preserve"> - Utility Industry Group</w:t>
      </w:r>
    </w:p>
    <w:p>
      <w:pPr>
        <w:pStyle w:val="Normal"/>
        <w:ind w:hanging="2160" w:start="2160" w:end="0"/>
        <w:rPr>
          <w:sz w:val="32"/>
        </w:rPr>
      </w:pPr>
      <w:r>
        <w:rPr>
          <w:sz w:val="32"/>
        </w:rPr>
      </w:r>
    </w:p>
    <w:p>
      <w:pPr>
        <w:pStyle w:val="Normal"/>
        <w:jc w:val="both"/>
        <w:rPr>
          <w:b/>
          <w:sz w:val="28"/>
          <w:u w:val="single"/>
        </w:rPr>
      </w:pPr>
      <w:r>
        <w:rPr>
          <w:b/>
          <w:sz w:val="28"/>
          <w:u w:val="single"/>
        </w:rPr>
      </w:r>
    </w:p>
    <w:sectPr>
      <w:headerReference w:type="default" r:id="rId3"/>
      <w:footerReference w:type="default" r:id="rId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8640"/>
        <w:tab w:val="center" w:pos="4320" w:leader="none"/>
        <w:tab w:val="right" w:pos="9360" w:leader="none"/>
      </w:tabs>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27</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27</w:t>
    </w:r>
    <w:r>
      <w:rPr>
        <w:lang w:eastAsia="en-US"/>
      </w:rPr>
      <w:fldChar w:fldCharType="end"/>
    </w:r>
    <w:r>
      <w:rPr/>
      <w:tab/>
      <w:tab/>
    </w:r>
    <w:r>
      <w:rPr/>
      <w:fldChar w:fldCharType="begin"/>
    </w:r>
    <w:r>
      <w:rPr/>
      <w:instrText xml:space="preserve"> DATE \@"MM\/dd\/yy" </w:instrText>
    </w:r>
    <w:r>
      <w:rPr/>
      <w:fldChar w:fldCharType="separate"/>
    </w:r>
    <w:r>
      <w:rPr/>
      <w:t>09/28/25</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GISB is the Gas Industry Standards Board, an organization which has developed guidelines for the conduct of electronic commerce in the energy industry</w:t>
      </w:r>
    </w:p>
  </w:footnote>
  <w:footnote w:id="3">
    <w:p>
      <w:pPr>
        <w:pStyle w:val="Normal"/>
        <w:rPr>
          <w:color w:val="000000"/>
        </w:rPr>
      </w:pPr>
      <w:r>
        <w:rPr>
          <w:rStyle w:val="FootnoteCharacters"/>
        </w:rPr>
        <w:footnoteRef/>
      </w:r>
      <w:r>
        <w:rPr/>
        <w:t xml:space="preserve">  </w:t>
      </w:r>
      <w:r>
        <w:rPr/>
        <w:t>T</w:t>
      </w:r>
      <w:r>
        <w:rPr>
          <w:color w:val="000000"/>
        </w:rPr>
        <w:t xml:space="preserve">hese clarifications have been reflected in the updated </w:t>
      </w:r>
      <w:r>
        <w:rPr>
          <w:i/>
        </w:rPr>
        <w:t xml:space="preserve">Transaction Processing Architecture </w:t>
      </w:r>
      <w:r>
        <w:rPr/>
        <w:t>document contained in Appendix B.</w:t>
      </w:r>
    </w:p>
    <w:p>
      <w:pPr>
        <w:pStyle w:val="FootnoteText"/>
        <w:rPr>
          <w:color w:val="000000"/>
        </w:rPr>
      </w:pPr>
      <w:r>
        <w:rPr>
          <w:color w:val="000000"/>
        </w:rPr>
      </w:r>
    </w:p>
  </w:footnote>
  <w:footnote w:id="4">
    <w:p>
      <w:pPr>
        <w:pStyle w:val="FootnoteText"/>
        <w:rPr/>
      </w:pPr>
      <w:r>
        <w:rPr>
          <w:rStyle w:val="FootnoteCharacters"/>
        </w:rPr>
        <w:footnoteRef/>
      </w:r>
      <w:r>
        <w:rPr/>
        <w:t xml:space="preserve"> </w:t>
      </w:r>
      <w:r>
        <w:rPr/>
        <w:t xml:space="preserve">GISB recommends that only one file be transmitted per HTTP session.  The New York Collaborative recommends that companies be allowed, by bilateral agreement, to have the option of sending multiple files during a single HTTP session. </w:t>
      </w:r>
    </w:p>
  </w:footnote>
  <w:footnote w:id="5">
    <w:p>
      <w:pPr>
        <w:pStyle w:val="FootnoteText"/>
        <w:rPr/>
      </w:pPr>
      <w:r>
        <w:rPr>
          <w:rStyle w:val="FootnoteCharacters"/>
        </w:rPr>
        <w:t>*</w:t>
      </w:r>
      <w:r>
        <w:rPr/>
        <w:t xml:space="preserve"> </w:t>
      </w:r>
      <w:r>
        <w:rPr/>
        <w:t>Utilities are required to demonstrate the capability to provide appropriate billing option codes in their enrollment accept responses.</w:t>
      </w:r>
    </w:p>
  </w:footnote>
  <w:footnote w:id="6">
    <w:p>
      <w:pPr>
        <w:pStyle w:val="FootnoteText"/>
        <w:rPr/>
      </w:pPr>
      <w:r>
        <w:rPr>
          <w:rStyle w:val="FootnoteCharacters"/>
        </w:rPr>
        <w:t>*</w:t>
      </w:r>
      <w:r>
        <w:rPr>
          <w:rStyle w:val="FootnoteCharacters"/>
        </w:rPr>
        <w:t>*</w:t>
      </w:r>
      <w:r>
        <w:rPr/>
        <w:t xml:space="preserve"> If the enrollment request (LIN=CE) is rejected, all secondary services requested coincident with that enrollment will also be rejected (from the </w:t>
      </w:r>
      <w:r>
        <w:rPr>
          <w:i/>
        </w:rPr>
        <w:t>New York 814 Enrollment Request &amp; Response Implementation Guide</w:t>
      </w:r>
      <w:r>
        <w:rPr/>
        <w:t>).</w:t>
      </w:r>
    </w:p>
  </w:footnote>
  <w:footnote w:id="7">
    <w:p>
      <w:pPr>
        <w:pStyle w:val="FootnoteText"/>
        <w:rPr/>
      </w:pPr>
      <w:r>
        <w:rPr>
          <w:rStyle w:val="FootnoteCharacters"/>
        </w:rPr>
        <w:t>*</w:t>
      </w:r>
      <w:r>
        <w:rPr/>
        <w:t xml:space="preserve"> </w:t>
      </w:r>
      <w:r>
        <w:rPr/>
        <w:t xml:space="preserve">If the enrollment request (LIN=CE) is rejected, all secondary services requested coincident with that enrollment will also be rejected (from the </w:t>
      </w:r>
      <w:r>
        <w:rPr>
          <w:i/>
        </w:rPr>
        <w:t>New York 814 Enrollment Request &amp; Response Implementation Guide</w:t>
      </w:r>
      <w:r>
        <w:rPr/>
        <w:t>).</w:t>
      </w:r>
    </w:p>
  </w:footnote>
  <w:footnote w:id="8">
    <w:p>
      <w:pPr>
        <w:pStyle w:val="FootnoteText"/>
        <w:rPr/>
      </w:pPr>
      <w:r>
        <w:rPr>
          <w:rStyle w:val="FootnoteCharacters"/>
        </w:rPr>
        <w:t>*</w:t>
      </w:r>
      <w:r>
        <w:rPr/>
        <w:t xml:space="preserve"> </w:t>
      </w:r>
      <w:r>
        <w:rPr/>
        <w:t>Con Edison and Keyspan Energy each provide gas profile history data to E/Ms.</w:t>
      </w:r>
    </w:p>
  </w:footnote>
  <w:footnote w:id="9">
    <w:p>
      <w:pPr>
        <w:pStyle w:val="FootnoteText"/>
        <w:rPr/>
      </w:pPr>
      <w:r>
        <w:rPr>
          <w:rStyle w:val="FootnoteCharacters"/>
        </w:rPr>
        <w:footnoteRef/>
      </w:r>
      <w:r>
        <w:rPr/>
        <w:t xml:space="preserve"> </w:t>
      </w:r>
      <w:r>
        <w:rPr/>
        <w:t>GISB specifies the use of Central Time for its time stamp anchors.</w:t>
      </w:r>
    </w:p>
  </w:footnote>
  <w:footnote w:id="10">
    <w:p>
      <w:pPr>
        <w:pStyle w:val="FootnoteText"/>
        <w:rPr/>
      </w:pPr>
      <w:r>
        <w:rPr>
          <w:rStyle w:val="FootnoteCharacters"/>
        </w:rPr>
        <w:footnoteRef/>
      </w:r>
      <w:r>
        <w:rPr/>
        <w:t xml:space="preserve"> </w:t>
      </w:r>
      <w:r>
        <w:rPr/>
        <w:t>This is in accordance with the recommendations of the New York Web Site Design Task Force recommendations filed with the Commission on October 10,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182880</wp:posOffset>
              </wp:positionV>
              <wp:extent cx="5943600" cy="0"/>
              <wp:effectExtent l="0" t="5080" r="0" b="5080"/>
              <wp:wrapNone/>
              <wp:docPr id="35"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4.4pt" to="467.95pt,14.4pt" stroked="t" o:allowincell="f" style="position:absolute">
              <v:stroke color="black" weight="9360" joinstyle="miter" endcap="flat"/>
              <v:fill o:detectmouseclick="t" on="false"/>
              <w10:wrap type="none"/>
            </v:line>
          </w:pict>
        </mc:Fallback>
      </mc:AlternateContent>
    </w:r>
    <w:r>
      <w:rPr/>
      <w:t xml:space="preserve">NY EDI Collaborative – Technical Operating Profile for EDI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lvlText w:val="%1."/>
      <w:lvlJc w:val="start"/>
      <w:pPr>
        <w:tabs>
          <w:tab w:val="num" w:pos="720"/>
        </w:tabs>
        <w:ind w:start="360" w:hanging="360"/>
      </w:pPr>
      <w:rPr>
        <w:smallCaps w:val="false"/>
        <w:caps w:val="false"/>
        <w:dstrike w:val="false"/>
        <w:strike w:val="false"/>
        <w:vertAlign w:val="baseline"/>
        <w:position w:val="0"/>
        <w:sz w:val="28"/>
        <w:sz w:val="28"/>
        <w:i w:val="false"/>
        <w:shadow w:val="false"/>
        <w:b/>
        <w:vanish w:val="false"/>
        <w:color w:val="auto"/>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6">
    <w:lvl w:ilvl="0">
      <w:start w:val="1"/>
      <w:numFmt w:val="bullet"/>
      <w:lvlText w:val=""/>
      <w:lvlJc w:val="start"/>
      <w:pPr>
        <w:tabs>
          <w:tab w:val="num" w:pos="360"/>
        </w:tabs>
        <w:ind w:start="360" w:hanging="360"/>
      </w:pPr>
      <w:rPr>
        <w:rFonts w:ascii="Symbol" w:hAnsi="Symbol" w:cs="Symbol" w:hint="default"/>
        <w:dstrike w:val="false"/>
        <w:strike w:val="false"/>
        <w:sz w:val="24"/>
        <w:color w:val="auto"/>
      </w:rPr>
    </w:lvl>
  </w:abstractNum>
  <w:abstractNum w:abstractNumId="7">
    <w:lvl w:ilvl="0">
      <w:start w:val="1"/>
      <w:numFmt w:val="bullet"/>
      <w:lvlText w:val=""/>
      <w:lvlJc w:val="start"/>
      <w:pPr>
        <w:tabs>
          <w:tab w:val="num" w:pos="360"/>
        </w:tabs>
        <w:ind w:start="360" w:hanging="360"/>
      </w:pPr>
      <w:rPr>
        <w:rFonts w:ascii="Symbol" w:hAnsi="Symbol" w:cs="Symbol" w:hint="default"/>
        <w:dstrike w:val="false"/>
        <w:strike w:val="false"/>
        <w:sz w:val="24"/>
        <w:color w:val="auto"/>
      </w:rPr>
    </w:lvl>
  </w:abstractNum>
  <w:abstractNum w:abstractNumId="8">
    <w:lvl w:ilvl="0">
      <w:start w:val="1"/>
      <w:numFmt w:val="decimal"/>
      <w:lvlText w:val="%1."/>
      <w:lvlJc w:val="start"/>
      <w:pPr>
        <w:tabs>
          <w:tab w:val="num" w:pos="360"/>
        </w:tabs>
        <w:ind w:start="360" w:hanging="360"/>
      </w:pPr>
      <w:rPr>
        <w:i w:val="false"/>
        <w:b w:val="false"/>
      </w:rPr>
    </w:lvl>
  </w:abstractNum>
  <w:abstractNum w:abstractNumId="9">
    <w:lvl w:ilvl="0">
      <w:start w:val="1"/>
      <w:numFmt w:val="decimal"/>
      <w:lvlText w:val="%1."/>
      <w:lvlJc w:val="start"/>
      <w:pPr>
        <w:tabs>
          <w:tab w:val="num" w:pos="360"/>
        </w:tabs>
        <w:ind w:start="360" w:hanging="360"/>
      </w:pPr>
      <w:rPr>
        <w:dstrike w:val="false"/>
        <w:strike w:val="false"/>
      </w:rPr>
    </w:lvl>
    <w:lvl w:ilvl="1">
      <w:start w:val="1"/>
      <w:numFmt w:val="decimal"/>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10">
    <w:lvl w:ilvl="0">
      <w:start w:val="5"/>
      <w:numFmt w:val="upperRoman"/>
      <w:lvlText w:val="%1."/>
      <w:lvlJc w:val="start"/>
      <w:pPr>
        <w:tabs>
          <w:tab w:val="num" w:pos="720"/>
        </w:tabs>
        <w:ind w:start="360" w:hanging="360"/>
      </w:pPr>
      <w:rPr>
        <w:sz w:val="28"/>
      </w:rPr>
    </w:lvl>
  </w:abstractNum>
  <w:abstractNum w:abstractNumId="11">
    <w:lvl w:ilvl="0">
      <w:start w:val="1"/>
      <w:numFmt w:val="bullet"/>
      <w:lvlText w:val=""/>
      <w:lvlJc w:val="start"/>
      <w:pPr>
        <w:tabs>
          <w:tab w:val="num" w:pos="1080"/>
        </w:tabs>
        <w:ind w:start="1080" w:hanging="360"/>
      </w:pPr>
      <w:rPr>
        <w:rFonts w:ascii="Symbol" w:hAnsi="Symbol" w:cs="Symbol" w:hint="default"/>
        <w:sz w:val="24"/>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000000"/>
      </w:rPr>
    </w:lvl>
  </w:abstractNum>
  <w:abstractNum w:abstractNumId="15">
    <w:lvl w:ilvl="0">
      <w:start w:val="1"/>
      <w:numFmt w:val="bullet"/>
      <w:lvlText w:val=""/>
      <w:lvlJc w:val="start"/>
      <w:pPr>
        <w:tabs>
          <w:tab w:val="num" w:pos="360"/>
        </w:tabs>
        <w:ind w:start="360" w:hanging="360"/>
      </w:pPr>
      <w:rPr>
        <w:rFonts w:ascii="Symbol" w:hAnsi="Symbol" w:cs="Symbol" w:hint="default"/>
        <w:sz w:val="24"/>
      </w:rPr>
    </w:lvl>
  </w:abstractNum>
  <w:abstractNum w:abstractNumId="16">
    <w:lvl w:ilvl="0">
      <w:start w:val="1"/>
      <w:numFmt w:val="bullet"/>
      <w:lvlText w:val=""/>
      <w:lvlJc w:val="start"/>
      <w:pPr>
        <w:tabs>
          <w:tab w:val="num" w:pos="1080"/>
        </w:tabs>
        <w:ind w:start="1080" w:hanging="360"/>
      </w:pPr>
      <w:rPr>
        <w:rFonts w:ascii="Symbol" w:hAnsi="Symbol" w:cs="Symbol" w:hint="default"/>
        <w:sz w:val="24"/>
      </w:rPr>
    </w:lvl>
  </w:abstractNum>
  <w:abstractNum w:abstractNumId="17">
    <w:lvl w:ilvl="0">
      <w:start w:val="1"/>
      <w:numFmt w:val="upperLetter"/>
      <w:lvlText w:val="%1."/>
      <w:lvlJc w:val="start"/>
      <w:pPr>
        <w:tabs>
          <w:tab w:val="num" w:pos="360"/>
        </w:tabs>
        <w:ind w:start="360" w:hanging="360"/>
      </w:pPr>
      <w:rPr>
        <w:sz w:val="28"/>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dstrike w:val="false"/>
        <w:strike w:val="false"/>
        <w:sz w:val="24"/>
        <w:color w:val="auto"/>
      </w:rPr>
    </w:lvl>
  </w:abstractNum>
  <w:abstractNum w:abstractNumId="21">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1080"/>
        </w:tabs>
        <w:ind w:start="1080" w:hanging="360"/>
      </w:pPr>
      <w:rPr>
        <w:rFonts w:ascii="Symbol" w:hAnsi="Symbol" w:cs="Symbol" w:hint="default"/>
        <w:sz w:val="24"/>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7">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28">
    <w:lvl w:ilvl="0">
      <w:start w:val="1"/>
      <w:numFmt w:val="bullet"/>
      <w:lvlText w:val=""/>
      <w:lvlJc w:val="start"/>
      <w:pPr>
        <w:tabs>
          <w:tab w:val="num" w:pos="648"/>
        </w:tabs>
        <w:ind w:start="360" w:hanging="72"/>
      </w:pPr>
      <w:rPr>
        <w:rFonts w:ascii="Symbol" w:hAnsi="Symbol" w:cs="Symbol" w:hint="default"/>
        <w:sz w:val="28"/>
      </w:rPr>
    </w:lvl>
  </w:abstractNum>
  <w:abstractNum w:abstractNumId="29">
    <w:lvl w:ilvl="0">
      <w:start w:val="1"/>
      <w:numFmt w:val="upperRoman"/>
      <w:lvlText w:val="%1."/>
      <w:lvlJc w:val="start"/>
      <w:pPr>
        <w:tabs>
          <w:tab w:val="num" w:pos="720"/>
        </w:tabs>
        <w:ind w:start="360" w:hanging="360"/>
      </w:pPr>
      <w:rPr>
        <w:sz w:val="28"/>
      </w:rPr>
    </w:lvl>
  </w:abstractNum>
  <w:abstractNum w:abstractNumId="30">
    <w:lvl w:ilvl="0">
      <w:start w:val="1"/>
      <w:numFmt w:val="bullet"/>
      <w:lvlText w:val=""/>
      <w:lvlJc w:val="start"/>
      <w:pPr>
        <w:tabs>
          <w:tab w:val="num" w:pos="360"/>
        </w:tabs>
        <w:ind w:start="360" w:hanging="360"/>
      </w:pPr>
      <w:rPr>
        <w:rFonts w:ascii="Symbol" w:hAnsi="Symbol" w:cs="Symbol" w:hint="default"/>
        <w:dstrike w:val="false"/>
        <w:strike w:val="false"/>
        <w:color w:val="auto"/>
      </w:rPr>
    </w:lvl>
  </w:abstractNum>
  <w:abstractNum w:abstractNumId="3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2">
    <w:lvl w:ilvl="0">
      <w:start w:val="1"/>
      <w:numFmt w:val="bullet"/>
      <w:lvlText w:val=""/>
      <w:lvlJc w:val="start"/>
      <w:pPr>
        <w:tabs>
          <w:tab w:val="num" w:pos="1080"/>
        </w:tabs>
        <w:ind w:start="1080" w:hanging="360"/>
      </w:pPr>
      <w:rPr>
        <w:rFonts w:ascii="Symbol" w:hAnsi="Symbol" w:cs="Symbol" w:hint="default"/>
        <w:sz w:val="24"/>
      </w:rPr>
    </w:lvl>
  </w:abstractNum>
  <w:abstractNum w:abstractNumId="33">
    <w:lvl w:ilvl="0">
      <w:start w:val="1"/>
      <w:numFmt w:val="bullet"/>
      <w:lvlText w:val=""/>
      <w:lvlJc w:val="start"/>
      <w:pPr>
        <w:tabs>
          <w:tab w:val="num" w:pos="720"/>
        </w:tabs>
        <w:ind w:start="1080" w:hanging="360"/>
      </w:pPr>
      <w:rPr>
        <w:rFonts w:ascii="Symbol" w:hAnsi="Symbol" w:cs="Symbol" w:hint="default"/>
        <w:sz w:val="24"/>
      </w:rPr>
    </w:lvl>
  </w:abstractNum>
  <w:abstractNum w:abstractNumId="3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o"/>
      <w:lvlJc w:val="start"/>
      <w:pPr>
        <w:tabs>
          <w:tab w:val="num" w:pos="2880"/>
        </w:tabs>
        <w:ind w:start="2880" w:hanging="360"/>
      </w:pPr>
      <w:rPr>
        <w:rFonts w:ascii="Courier New" w:hAnsi="Courier New" w:cs="Courier New"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5">
    <w:lvl w:ilvl="0">
      <w:start w:val="1"/>
      <w:numFmt w:val="decimal"/>
      <w:lvlText w:val="%1."/>
      <w:lvlJc w:val="start"/>
      <w:pPr>
        <w:tabs>
          <w:tab w:val="num" w:pos="360"/>
        </w:tabs>
        <w:ind w:start="360" w:hanging="360"/>
      </w:pPr>
      <w:rPr>
        <w:i w:val="false"/>
        <w:u w:val="none"/>
        <w:b w:val="false"/>
        <w:color w:val="000000"/>
      </w:rPr>
    </w:lvl>
    <w:lvl w:ilvl="1">
      <w:start w:val="1"/>
      <w:numFmt w:val="decimal"/>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1080"/>
        </w:tabs>
        <w:ind w:start="1080" w:hanging="360"/>
      </w:pPr>
      <w:rPr>
        <w:rFonts w:ascii="Symbol" w:hAnsi="Symbol" w:cs="Symbol" w:hint="default"/>
        <w:sz w:val="24"/>
      </w:rPr>
    </w:lvl>
  </w:abstractNum>
  <w:abstractNum w:abstractNumId="38">
    <w:lvl w:ilvl="0">
      <w:start w:val="1"/>
      <w:numFmt w:val="decimal"/>
      <w:lvlText w:val="%1."/>
      <w:lvlJc w:val="start"/>
      <w:pPr>
        <w:tabs>
          <w:tab w:val="num" w:pos="360"/>
        </w:tabs>
        <w:ind w:start="360" w:hanging="360"/>
      </w:pPr>
    </w:lvl>
  </w:abstractNum>
  <w:abstractNum w:abstractNumId="39">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40">
    <w:lvl w:ilvl="0">
      <w:start w:val="1"/>
      <w:numFmt w:val="bullet"/>
      <w:lvlText w:val=""/>
      <w:lvlJc w:val="start"/>
      <w:pPr>
        <w:tabs>
          <w:tab w:val="num" w:pos="1080"/>
        </w:tabs>
        <w:ind w:start="1080" w:hanging="360"/>
      </w:pPr>
      <w:rPr>
        <w:rFonts w:ascii="Symbol" w:hAnsi="Symbol" w:cs="Symbol" w:hint="default"/>
        <w:sz w:val="24"/>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648"/>
        </w:tabs>
        <w:ind w:start="360" w:hanging="72"/>
      </w:pPr>
      <w:rPr>
        <w:rFonts w:ascii="Symbol" w:hAnsi="Symbol" w:cs="Symbol" w:hint="default"/>
        <w:sz w:val="28"/>
      </w:rPr>
    </w:lvl>
  </w:abstractNum>
  <w:abstractNum w:abstractNumId="43">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decimal"/>
      <w:lvlText w:val="%1."/>
      <w:lvlJc w:val="start"/>
      <w:pPr>
        <w:tabs>
          <w:tab w:val="num" w:pos="720"/>
        </w:tabs>
        <w:ind w:start="720" w:hanging="720"/>
      </w:pPr>
      <w:rPr>
        <w:smallCaps w:val="false"/>
        <w:caps w:val="false"/>
        <w:dstrike w:val="false"/>
        <w:strike w:val="false"/>
        <w:vertAlign w:val="baseline"/>
        <w:position w:val="0"/>
        <w:sz w:val="24"/>
        <w:i w:val="false"/>
        <w:shadow w:val="false"/>
        <w:b w:val="false"/>
        <w:vanish w:val="false"/>
        <w:color w:val="auto"/>
      </w:rPr>
    </w:lvl>
  </w:abstractNum>
  <w:abstractNum w:abstractNumId="46">
    <w:lvl w:ilvl="0">
      <w:start w:val="1"/>
      <w:numFmt w:val="bullet"/>
      <w:lvlText w:val=""/>
      <w:lvlJc w:val="start"/>
      <w:pPr>
        <w:tabs>
          <w:tab w:val="num" w:pos="360"/>
        </w:tabs>
        <w:ind w:start="360" w:hanging="360"/>
      </w:pPr>
      <w:rPr>
        <w:rFonts w:ascii="Wingdings" w:hAnsi="Wingdings" w:cs="Wingdings" w:hint="default"/>
      </w:rPr>
    </w:lvl>
  </w:abstractNum>
  <w:abstractNum w:abstractNumId="47">
    <w:lvl w:ilvl="0">
      <w:start w:val="1"/>
      <w:numFmt w:val="bullet"/>
      <w:lvlText w:val=""/>
      <w:lvlJc w:val="start"/>
      <w:pPr>
        <w:tabs>
          <w:tab w:val="num" w:pos="1080"/>
        </w:tabs>
        <w:ind w:start="1080" w:hanging="360"/>
      </w:pPr>
      <w:rPr>
        <w:rFonts w:ascii="Symbol" w:hAnsi="Symbol" w:cs="Symbol" w:hint="default"/>
      </w:rPr>
    </w:lvl>
  </w:abstractNum>
  <w:abstractNum w:abstractNumId="48">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49">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50">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51">
    <w:lvl w:ilvl="0">
      <w:start w:val="1"/>
      <w:numFmt w:val="bullet"/>
      <w:lvlText w:val=""/>
      <w:lvlJc w:val="start"/>
      <w:pPr>
        <w:tabs>
          <w:tab w:val="num" w:pos="360"/>
        </w:tabs>
        <w:ind w:start="360" w:hanging="360"/>
      </w:pPr>
      <w:rPr>
        <w:rFonts w:ascii="Symbol" w:hAnsi="Symbol" w:cs="Symbol" w:hint="default"/>
        <w:sz w:val="24"/>
      </w:rPr>
    </w:lvl>
  </w:abstractNum>
  <w:abstractNum w:abstractNumId="52">
    <w:lvl w:ilvl="0">
      <w:start w:val="1"/>
      <w:numFmt w:val="bullet"/>
      <w:lvlText w:val=""/>
      <w:lvlJc w:val="start"/>
      <w:pPr>
        <w:tabs>
          <w:tab w:val="num" w:pos="1080"/>
        </w:tabs>
        <w:ind w:start="1080" w:hanging="360"/>
      </w:pPr>
      <w:rPr>
        <w:rFonts w:ascii="Symbol" w:hAnsi="Symbol" w:cs="Symbol" w:hint="default"/>
        <w:dstrike w:val="false"/>
        <w:strike w:val="false"/>
        <w:sz w:val="24"/>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sz w:val="24"/>
      </w:rPr>
    </w:lvl>
  </w:abstractNum>
  <w:abstractNum w:abstractNumId="55">
    <w:lvl w:ilvl="0">
      <w:start w:val="1"/>
      <w:numFmt w:val="decimal"/>
      <w:lvlText w:val="%1."/>
      <w:lvlJc w:val="start"/>
      <w:pPr>
        <w:tabs>
          <w:tab w:val="num" w:pos="720"/>
        </w:tabs>
        <w:ind w:start="720" w:hanging="360"/>
      </w:pPr>
      <w:rPr>
        <w:dstrike w:val="false"/>
        <w:strike w:val="false"/>
        <w:sz w:val="24"/>
        <w:i w:val="false"/>
        <w:b w:val="false"/>
        <w:rFonts w:ascii="Times New Roman" w:hAnsi="Times New Roman" w:cs="Times New Roman"/>
      </w:rPr>
    </w:lvl>
    <w:lvl w:ilvl="1">
      <w:start w:val="1"/>
      <w:numFmt w:val="lowerLetter"/>
      <w:lvlText w:val="%2."/>
      <w:lvlJc w:val="start"/>
      <w:pPr>
        <w:tabs>
          <w:tab w:val="num" w:pos="1440"/>
        </w:tabs>
        <w:ind w:start="1440" w:hanging="360"/>
      </w:pPr>
      <w:rPr>
        <w:sz w:val="24"/>
        <w:i w:val="false"/>
        <w:b w:val="false"/>
        <w:rFonts w:ascii="Times New Roman" w:hAnsi="Times New Roman" w:cs="Times New Roman"/>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sz w:val="24"/>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5"/>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b/>
      <w:sz w:val="36"/>
    </w:rPr>
  </w:style>
  <w:style w:type="paragraph" w:styleId="Heading3">
    <w:name w:val="heading 3"/>
    <w:basedOn w:val="Normal"/>
    <w:next w:val="Normal"/>
    <w:qFormat/>
    <w:pPr>
      <w:keepNext w:val="true"/>
      <w:numPr>
        <w:ilvl w:val="2"/>
        <w:numId w:val="1"/>
      </w:numPr>
      <w:outlineLvl w:val="2"/>
    </w:pPr>
    <w:rPr>
      <w:b/>
      <w:sz w:val="28"/>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8"/>
    </w:rPr>
  </w:style>
  <w:style w:type="paragraph" w:styleId="Heading7">
    <w:name w:val="heading 7"/>
    <w:basedOn w:val="Normal"/>
    <w:next w:val="Normal"/>
    <w:qFormat/>
    <w:pPr>
      <w:keepNext w:val="true"/>
      <w:numPr>
        <w:ilvl w:val="6"/>
        <w:numId w:val="1"/>
      </w:numPr>
      <w:outlineLvl w:val="6"/>
    </w:pPr>
    <w:rPr>
      <w:b/>
      <w:sz w:val="28"/>
    </w:rPr>
  </w:style>
  <w:style w:type="paragraph" w:styleId="Heading8">
    <w:name w:val="heading 8"/>
    <w:basedOn w:val="Normal"/>
    <w:next w:val="Normal"/>
    <w:qFormat/>
    <w:pPr>
      <w:keepNext w:val="true"/>
      <w:numPr>
        <w:ilvl w:val="7"/>
        <w:numId w:val="1"/>
      </w:numPr>
      <w:outlineLvl w:val="7"/>
    </w:pPr>
    <w:rPr>
      <w:sz w:val="32"/>
    </w:rPr>
  </w:style>
  <w:style w:type="paragraph" w:styleId="Heading9">
    <w:name w:val="heading 9"/>
    <w:basedOn w:val="Normal"/>
    <w:next w:val="Normal"/>
    <w:qFormat/>
    <w:pPr>
      <w:keepNext w:val="true"/>
      <w:numPr>
        <w:ilvl w:val="8"/>
        <w:numId w:val="1"/>
      </w:numPr>
      <w:outlineLvl w:val="8"/>
    </w:pPr>
    <w:rPr>
      <w:b/>
      <w:sz w:val="36"/>
    </w:rPr>
  </w:style>
  <w:style w:type="character" w:styleId="WW8Num1z0">
    <w:name w:val="WW8Num1z0"/>
    <w:qFormat/>
    <w:rPr>
      <w:rFonts w:ascii="Symbol" w:hAnsi="Symbol" w:cs="Symbol"/>
      <w:strike w:val="false"/>
      <w:dstrike w:val="false"/>
    </w:rPr>
  </w:style>
  <w:style w:type="character" w:styleId="WW8Num3z0">
    <w:name w:val="WW8Num3z0"/>
    <w:qFormat/>
    <w:rPr>
      <w:rFonts w:ascii="Symbol" w:hAnsi="Symbol" w:cs="Symbol"/>
      <w:strike w:val="false"/>
      <w:dstrike w:val="false"/>
      <w:sz w:val="24"/>
    </w:rPr>
  </w:style>
  <w:style w:type="character" w:styleId="WW8Num5z0">
    <w:name w:val="WW8Num5z0"/>
    <w:qFormat/>
    <w:rPr>
      <w:rFonts w:ascii="Symbol" w:hAnsi="Symbol" w:cs="Symbol"/>
    </w:rPr>
  </w:style>
  <w:style w:type="character" w:styleId="WW8Num6z0">
    <w:name w:val="WW8Num6z0"/>
    <w:qFormat/>
    <w:rPr>
      <w:b/>
      <w:i w:val="false"/>
      <w:caps w:val="false"/>
      <w:smallCaps w:val="false"/>
      <w:strike w:val="false"/>
      <w:dstrike w:val="false"/>
      <w:shadow w:val="false"/>
      <w:vanish w:val="false"/>
      <w:color w:val="auto"/>
      <w:position w:val="0"/>
      <w:sz w:val="34"/>
      <w:sz w:val="34"/>
      <w:vertAlign w:val="baseline"/>
    </w:rPr>
  </w:style>
  <w:style w:type="character" w:styleId="WW8Num7z0">
    <w:name w:val="WW8Num7z0"/>
    <w:qFormat/>
    <w:rPr/>
  </w:style>
  <w:style w:type="character" w:styleId="WW8Num8z0">
    <w:name w:val="WW8Num8z0"/>
    <w:qFormat/>
    <w:rPr>
      <w:b/>
      <w:i w:val="false"/>
      <w:caps w:val="false"/>
      <w:smallCaps w:val="false"/>
      <w:strike w:val="false"/>
      <w:dstrike w:val="false"/>
      <w:shadow w:val="false"/>
      <w:vanish w:val="false"/>
      <w:color w:val="auto"/>
      <w:position w:val="0"/>
      <w:sz w:val="28"/>
      <w:sz w:val="28"/>
      <w:vertAlign w:val="baseline"/>
    </w:rPr>
  </w:style>
  <w:style w:type="character" w:styleId="WW8Num10z0">
    <w:name w:val="WW8Num10z0"/>
    <w:qFormat/>
    <w:rPr>
      <w:rFonts w:ascii="Symbol" w:hAnsi="Symbol" w:cs="Symbol"/>
      <w:strike w:val="false"/>
      <w:dstrike w:val="false"/>
      <w:color w:val="auto"/>
      <w:sz w:val="24"/>
    </w:rPr>
  </w:style>
  <w:style w:type="character" w:styleId="WW8Num11z0">
    <w:name w:val="WW8Num11z0"/>
    <w:qFormat/>
    <w:rPr>
      <w:b/>
      <w:i w:val="false"/>
      <w:strike w:val="false"/>
      <w:dstrike w:val="false"/>
      <w:position w:val="0"/>
      <w:sz w:val="24"/>
      <w:vertAlign w:val="baseline"/>
    </w:rPr>
  </w:style>
  <w:style w:type="character" w:styleId="WW8Num12z0">
    <w:name w:val="WW8Num12z0"/>
    <w:qFormat/>
    <w:rPr>
      <w:rFonts w:ascii="Wingdings" w:hAnsi="Wingdings" w:cs="Wingdings"/>
    </w:rPr>
  </w:style>
  <w:style w:type="character" w:styleId="WW8Num13z0">
    <w:name w:val="WW8Num13z0"/>
    <w:qFormat/>
    <w:rPr>
      <w:sz w:val="28"/>
    </w:rPr>
  </w:style>
  <w:style w:type="character" w:styleId="WW8Num16z0">
    <w:name w:val="WW8Num16z0"/>
    <w:qFormat/>
    <w:rPr>
      <w:b/>
      <w:i w:val="false"/>
      <w:caps w:val="false"/>
      <w:smallCaps w:val="false"/>
      <w:strike w:val="false"/>
      <w:dstrike w:val="false"/>
      <w:shadow w:val="false"/>
      <w:vanish w:val="false"/>
      <w:color w:val="auto"/>
      <w:position w:val="0"/>
      <w:sz w:val="28"/>
      <w:sz w:val="28"/>
      <w:vertAlign w:val="baseline"/>
    </w:rPr>
  </w:style>
  <w:style w:type="character" w:styleId="WW8Num17z0">
    <w:name w:val="WW8Num17z0"/>
    <w:qFormat/>
    <w:rPr>
      <w:rFonts w:ascii="Symbol" w:hAnsi="Symbol" w:cs="Symbol"/>
      <w:strike w:val="false"/>
      <w:dstrike w:val="false"/>
      <w:color w:val="000000"/>
      <w:sz w:val="24"/>
    </w:rPr>
  </w:style>
  <w:style w:type="character" w:styleId="WW8Num19z0">
    <w:name w:val="WW8Num19z0"/>
    <w:qFormat/>
    <w:rPr>
      <w:rFonts w:ascii="Symbol" w:hAnsi="Symbol" w:cs="Symbol"/>
    </w:rPr>
  </w:style>
  <w:style w:type="character" w:styleId="WW8Num20z0">
    <w:name w:val="WW8Num20z0"/>
    <w:qFormat/>
    <w:rPr>
      <w:rFonts w:ascii="Symbol" w:hAnsi="Symbol" w:cs="Symbol"/>
      <w:strike w:val="false"/>
      <w:dstrike w:val="false"/>
      <w:sz w:val="24"/>
    </w:rPr>
  </w:style>
  <w:style w:type="character" w:styleId="WW8Num21z0">
    <w:name w:val="WW8Num21z0"/>
    <w:qFormat/>
    <w:rPr>
      <w:rFonts w:ascii="Symbol" w:hAnsi="Symbol" w:cs="Symbol"/>
      <w:strike w:val="false"/>
      <w:dstrike w:val="false"/>
      <w:sz w:val="24"/>
    </w:rPr>
  </w:style>
  <w:style w:type="character" w:styleId="WW8Num22z0">
    <w:name w:val="WW8Num22z0"/>
    <w:qFormat/>
    <w:rPr>
      <w:rFonts w:ascii="Symbol" w:hAnsi="Symbol" w:cs="Symbol"/>
    </w:rPr>
  </w:style>
  <w:style w:type="character" w:styleId="WW8Num23z0">
    <w:name w:val="WW8Num23z0"/>
    <w:qFormat/>
    <w:rPr>
      <w:rFonts w:ascii="Symbol" w:hAnsi="Symbol" w:cs="Symbol"/>
      <w:strike w:val="false"/>
      <w:dstrike w:val="false"/>
      <w:color w:val="auto"/>
      <w:sz w:val="24"/>
    </w:rPr>
  </w:style>
  <w:style w:type="character" w:styleId="WW8Num24z0">
    <w:name w:val="WW8Num24z0"/>
    <w:qFormat/>
    <w:rPr>
      <w:b w:val="false"/>
      <w:i w:val="false"/>
    </w:rPr>
  </w:style>
  <w:style w:type="character" w:styleId="WW8Num25z0">
    <w:name w:val="WW8Num25z0"/>
    <w:qFormat/>
    <w:rPr>
      <w:strike w:val="false"/>
      <w:dstrike w:val="false"/>
    </w:rPr>
  </w:style>
  <w:style w:type="character" w:styleId="WW8Num26z0">
    <w:name w:val="WW8Num26z0"/>
    <w:qFormat/>
    <w:rPr>
      <w:sz w:val="28"/>
    </w:rPr>
  </w:style>
  <w:style w:type="character" w:styleId="WW8Num27z0">
    <w:name w:val="WW8Num27z0"/>
    <w:qFormat/>
    <w:rPr>
      <w:rFonts w:ascii="Symbol" w:hAnsi="Symbol" w:cs="Symbol"/>
      <w:sz w:val="24"/>
    </w:rPr>
  </w:style>
  <w:style w:type="character" w:styleId="WW8Num28z0">
    <w:name w:val="WW8Num28z0"/>
    <w:qFormat/>
    <w:rPr>
      <w:b w:val="false"/>
      <w:i w:val="false"/>
      <w:strike w:val="false"/>
      <w:dstrike w:val="false"/>
      <w:position w:val="0"/>
      <w:sz w:val="24"/>
      <w:vertAlign w:val="baseline"/>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i w:val="false"/>
    </w:rPr>
  </w:style>
  <w:style w:type="character" w:styleId="WW8Num36z0">
    <w:name w:val="WW8Num36z0"/>
    <w:qFormat/>
    <w:rPr>
      <w:rFonts w:ascii="Symbol" w:hAnsi="Symbol" w:cs="Symbol"/>
      <w:color w:val="auto"/>
      <w:sz w:val="24"/>
    </w:rPr>
  </w:style>
  <w:style w:type="character" w:styleId="WW8Num37z0">
    <w:name w:val="WW8Num37z0"/>
    <w:qFormat/>
    <w:rPr>
      <w:rFonts w:ascii="Symbol" w:hAnsi="Symbol" w:cs="Symbol"/>
    </w:rPr>
  </w:style>
  <w:style w:type="character" w:styleId="WW8Num38z0">
    <w:name w:val="WW8Num38z0"/>
    <w:qFormat/>
    <w:rPr>
      <w:i w:val="false"/>
      <w:strike w:val="false"/>
      <w:dstrike w:val="false"/>
    </w:rPr>
  </w:style>
  <w:style w:type="character" w:styleId="WW8Num40z0">
    <w:name w:val="WW8Num40z0"/>
    <w:qFormat/>
    <w:rPr>
      <w:rFonts w:ascii="Symbol" w:hAnsi="Symbol" w:cs="Symbol"/>
      <w:color w:val="000000"/>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sz w:val="24"/>
    </w:rPr>
  </w:style>
  <w:style w:type="character" w:styleId="WW8Num44z0">
    <w:name w:val="WW8Num44z0"/>
    <w:qFormat/>
    <w:rPr>
      <w:rFonts w:ascii="Symbol" w:hAnsi="Symbol" w:cs="Symbol"/>
      <w:sz w:val="24"/>
    </w:rPr>
  </w:style>
  <w:style w:type="character" w:styleId="WW8Num45z0">
    <w:name w:val="WW8Num45z0"/>
    <w:qFormat/>
    <w:rPr>
      <w:i w:val="false"/>
    </w:rPr>
  </w:style>
  <w:style w:type="character" w:styleId="WW8Num46z0">
    <w:name w:val="WW8Num46z0"/>
    <w:qFormat/>
    <w:rPr>
      <w:b/>
      <w:i w:val="false"/>
      <w:sz w:val="2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z w:val="28"/>
    </w:rPr>
  </w:style>
  <w:style w:type="character" w:styleId="WW8Num50z0">
    <w:name w:val="WW8Num50z0"/>
    <w:qFormat/>
    <w:rPr>
      <w:rFonts w:ascii="Symbol" w:hAnsi="Symbol" w:cs="Symbol"/>
    </w:rPr>
  </w:style>
  <w:style w:type="character" w:styleId="WW8Num51z0">
    <w:name w:val="WW8Num51z0"/>
    <w:qFormat/>
    <w:rPr>
      <w:b/>
      <w:i w:val="false"/>
      <w:strike w:val="false"/>
      <w:dstrike w:val="false"/>
      <w:position w:val="0"/>
      <w:sz w:val="24"/>
      <w:vertAlign w:val="baseline"/>
    </w:rPr>
  </w:style>
  <w:style w:type="character" w:styleId="WW8Num53z0">
    <w:name w:val="WW8Num53z0"/>
    <w:qFormat/>
    <w:rPr/>
  </w:style>
  <w:style w:type="character" w:styleId="WW8Num56z0">
    <w:name w:val="WW8Num56z0"/>
    <w:qFormat/>
    <w:rPr>
      <w:rFonts w:ascii="Symbol" w:hAnsi="Symbol" w:cs="Symbol"/>
    </w:rPr>
  </w:style>
  <w:style w:type="character" w:styleId="WW8Num57z0">
    <w:name w:val="WW8Num57z0"/>
    <w:qFormat/>
    <w:rPr>
      <w:rFonts w:ascii="Symbol" w:hAnsi="Symbol" w:cs="Symbol"/>
      <w:outline w:val="false"/>
      <w:color w:val="auto"/>
      <w:sz w:val="22"/>
      <w:u w:val="none"/>
    </w:rPr>
  </w:style>
  <w:style w:type="character" w:styleId="WW8Num58z0">
    <w:name w:val="WW8Num58z0"/>
    <w:qFormat/>
    <w:rPr>
      <w:rFonts w:ascii="Symbol" w:hAnsi="Symbol" w:cs="Symbol"/>
      <w:sz w:val="24"/>
    </w:rPr>
  </w:style>
  <w:style w:type="character" w:styleId="WW8Num59z0">
    <w:name w:val="WW8Num59z0"/>
    <w:qFormat/>
    <w:rPr>
      <w:rFonts w:ascii="Symbol" w:hAnsi="Symbol" w:cs="Symbol"/>
      <w:strike w:val="false"/>
      <w:dstrike w:val="false"/>
      <w:color w:val="auto"/>
      <w:sz w:val="24"/>
    </w:rPr>
  </w:style>
  <w:style w:type="character" w:styleId="WW8Num60z0">
    <w:name w:val="WW8Num60z0"/>
    <w:qFormat/>
    <w:rPr>
      <w:rFonts w:ascii="Symbol" w:hAnsi="Symbol" w:cs="Symbol"/>
    </w:rPr>
  </w:style>
  <w:style w:type="character" w:styleId="WW8Num61z0">
    <w:name w:val="WW8Num61z0"/>
    <w:qFormat/>
    <w:rPr>
      <w:rFonts w:ascii="Symbol" w:hAnsi="Symbol" w:cs="Symbol"/>
      <w:color w:val="auto"/>
      <w:sz w:val="24"/>
    </w:rPr>
  </w:style>
  <w:style w:type="character" w:styleId="WW8Num62z0">
    <w:name w:val="WW8Num62z0"/>
    <w:qFormat/>
    <w:rPr>
      <w:rFonts w:ascii="Times New Roman" w:hAnsi="Times New Roman" w:cs="Times New Roman"/>
      <w:b w:val="false"/>
      <w:i w:val="false"/>
      <w:sz w:val="24"/>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sz w:val="24"/>
    </w:rPr>
  </w:style>
  <w:style w:type="character" w:styleId="WW8Num67z0">
    <w:name w:val="WW8Num67z0"/>
    <w:qFormat/>
    <w:rPr>
      <w:rFonts w:ascii="Symbol" w:hAnsi="Symbol" w:cs="Symbol"/>
    </w:rPr>
  </w:style>
  <w:style w:type="character" w:styleId="WW8Num68z0">
    <w:name w:val="WW8Num68z0"/>
    <w:qFormat/>
    <w:rPr>
      <w:rFonts w:ascii="Symbol" w:hAnsi="Symbol" w:cs="Symbol"/>
      <w:strike w:val="false"/>
      <w:dstrike w:val="false"/>
      <w:color w:val="000000"/>
      <w:sz w:val="24"/>
    </w:rPr>
  </w:style>
  <w:style w:type="character" w:styleId="WW8Num69z0">
    <w:name w:val="WW8Num69z0"/>
    <w:qFormat/>
    <w:rPr>
      <w:b/>
      <w:i w:val="false"/>
      <w:strike w:val="false"/>
      <w:dstrike w:val="fals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rike w:val="false"/>
      <w:dstrike w:val="false"/>
    </w:rPr>
  </w:style>
  <w:style w:type="character" w:styleId="WW8Num73z0">
    <w:name w:val="WW8Num73z0"/>
    <w:qFormat/>
    <w:rPr>
      <w:rFonts w:ascii="Symbol" w:hAnsi="Symbol" w:cs="Symbol"/>
      <w:color w:val="auto"/>
      <w:sz w:val="24"/>
    </w:rPr>
  </w:style>
  <w:style w:type="character" w:styleId="WW8Num75z0">
    <w:name w:val="WW8Num75z0"/>
    <w:qFormat/>
    <w:rPr>
      <w:rFonts w:ascii="Symbol" w:hAnsi="Symbol" w:cs="Symbol"/>
      <w:strike w:val="false"/>
      <w:dstrike w:val="false"/>
      <w:sz w:val="24"/>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rFonts w:ascii="Symbol" w:hAnsi="Symbol" w:cs="Symbol"/>
      <w:color w:val="000000"/>
      <w:sz w:val="22"/>
    </w:rPr>
  </w:style>
  <w:style w:type="character" w:styleId="WW8Num79z0">
    <w:name w:val="WW8Num79z0"/>
    <w:qFormat/>
    <w:rPr>
      <w:rFonts w:ascii="Symbol" w:hAnsi="Symbol" w:cs="Symbol"/>
      <w:strike w:val="false"/>
      <w:dstrike w:val="false"/>
      <w:shadow w:val="false"/>
      <w:color w:val="auto"/>
      <w:sz w:val="24"/>
    </w:rPr>
  </w:style>
  <w:style w:type="character" w:styleId="WW8Num80z0">
    <w:name w:val="WW8Num80z0"/>
    <w:qFormat/>
    <w:rPr/>
  </w:style>
  <w:style w:type="character" w:styleId="WW8Num81z0">
    <w:name w:val="WW8Num81z0"/>
    <w:qFormat/>
    <w:rPr/>
  </w:style>
  <w:style w:type="character" w:styleId="WW8Num82z0">
    <w:name w:val="WW8Num82z0"/>
    <w:qFormat/>
    <w:rPr>
      <w:rFonts w:ascii="Wingdings" w:hAnsi="Wingdings" w:cs="Wingdings"/>
      <w:sz w:val="22"/>
    </w:rPr>
  </w:style>
  <w:style w:type="character" w:styleId="WW8Num83z0">
    <w:name w:val="WW8Num83z0"/>
    <w:qFormat/>
    <w:rPr>
      <w:rFonts w:ascii="Symbol" w:hAnsi="Symbol" w:cs="Symbol"/>
      <w:sz w:val="28"/>
    </w:rPr>
  </w:style>
  <w:style w:type="character" w:styleId="WW8Num84z0">
    <w:name w:val="WW8Num84z0"/>
    <w:qFormat/>
    <w:rPr>
      <w:sz w:val="28"/>
    </w:rPr>
  </w:style>
  <w:style w:type="character" w:styleId="WW8Num85z0">
    <w:name w:val="WW8Num85z0"/>
    <w:qFormat/>
    <w:rPr>
      <w:rFonts w:ascii="Symbol" w:hAnsi="Symbol" w:cs="Symbol"/>
    </w:rPr>
  </w:style>
  <w:style w:type="character" w:styleId="WW8Num86z0">
    <w:name w:val="WW8Num86z0"/>
    <w:qFormat/>
    <w:rPr>
      <w:rFonts w:ascii="Symbol" w:hAnsi="Symbol" w:cs="Symbol"/>
      <w:strike w:val="false"/>
      <w:dstrike w:val="false"/>
      <w:color w:val="auto"/>
    </w:rPr>
  </w:style>
  <w:style w:type="character" w:styleId="WW8Num87z0">
    <w:name w:val="WW8Num87z0"/>
    <w:qFormat/>
    <w:rPr>
      <w:rFonts w:ascii="Symbol" w:hAnsi="Symbol" w:cs="Symbol"/>
      <w:b/>
      <w:i w:val="false"/>
      <w:strike w:val="false"/>
      <w:dstrike w:val="false"/>
      <w:shadow w:val="false"/>
      <w:color w:val="auto"/>
      <w:sz w:val="24"/>
      <w:vertAlign w:val="subscript"/>
    </w:rPr>
  </w:style>
  <w:style w:type="character" w:styleId="WW8Num88z0">
    <w:name w:val="WW8Num88z0"/>
    <w:qFormat/>
    <w:rPr>
      <w:rFonts w:ascii="Symbol" w:hAnsi="Symbol" w:cs="Symbol"/>
    </w:rPr>
  </w:style>
  <w:style w:type="character" w:styleId="WW8Num89z0">
    <w:name w:val="WW8Num89z0"/>
    <w:qFormat/>
    <w:rPr>
      <w:sz w:val="28"/>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1">
    <w:name w:val="WW8Num91z1"/>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24"/>
    </w:rPr>
  </w:style>
  <w:style w:type="character" w:styleId="WW8Num94z0">
    <w:name w:val="WW8Num94z0"/>
    <w:qFormat/>
    <w:rPr>
      <w:rFonts w:ascii="Symbol" w:hAnsi="Symbol" w:cs="Symbol"/>
      <w:sz w:val="24"/>
    </w:rPr>
  </w:style>
  <w:style w:type="character" w:styleId="WW8Num96z0">
    <w:name w:val="WW8Num96z0"/>
    <w:qFormat/>
    <w:rPr>
      <w:rFonts w:ascii="Symbol" w:hAnsi="Symbol" w:cs="Symbol"/>
      <w:color w:val="auto"/>
      <w:sz w:val="24"/>
    </w:rPr>
  </w:style>
  <w:style w:type="character" w:styleId="WW8Num97z0">
    <w:name w:val="WW8Num97z0"/>
    <w:qFormat/>
    <w:rPr>
      <w:rFonts w:ascii="Symbol" w:hAnsi="Symbol" w:cs="Symbol"/>
      <w:sz w:val="24"/>
    </w:rPr>
  </w:style>
  <w:style w:type="character" w:styleId="WW8Num98z0">
    <w:name w:val="WW8Num98z0"/>
    <w:qFormat/>
    <w:rPr>
      <w:b w:val="false"/>
      <w:u w:val="none"/>
    </w:rPr>
  </w:style>
  <w:style w:type="character" w:styleId="WW8Num99z0">
    <w:name w:val="WW8Num99z0"/>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5">
    <w:name w:val="WW8Num101z5"/>
    <w:qFormat/>
    <w:rPr>
      <w:rFonts w:ascii="Wingdings" w:hAnsi="Wingdings" w:cs="Wingdings"/>
    </w:rPr>
  </w:style>
  <w:style w:type="character" w:styleId="WW8Num102z0">
    <w:name w:val="WW8Num102z0"/>
    <w:qFormat/>
    <w:rPr>
      <w:b w:val="false"/>
      <w:i w:val="false"/>
      <w:color w:val="000000"/>
      <w:u w:val="non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sz w:val="24"/>
    </w:rPr>
  </w:style>
  <w:style w:type="character" w:styleId="WW8Num107z0">
    <w:name w:val="WW8Num107z0"/>
    <w:qFormat/>
    <w:rPr>
      <w:rFonts w:ascii="Symbol" w:hAnsi="Symbol" w:cs="Symbol"/>
      <w:sz w:val="24"/>
    </w:rPr>
  </w:style>
  <w:style w:type="character" w:styleId="WW8Num110z0">
    <w:name w:val="WW8Num110z0"/>
    <w:qFormat/>
    <w:rPr>
      <w:rFonts w:ascii="Symbol" w:hAnsi="Symbol" w:cs="Symbol"/>
      <w:strike w:val="false"/>
      <w:dstrike w:val="false"/>
      <w:sz w:val="24"/>
    </w:rPr>
  </w:style>
  <w:style w:type="character" w:styleId="WW8Num111z0">
    <w:name w:val="WW8Num111z0"/>
    <w:qFormat/>
    <w:rPr>
      <w:rFonts w:ascii="Symbol" w:hAnsi="Symbol" w:cs="Symbol"/>
    </w:rPr>
  </w:style>
  <w:style w:type="character" w:styleId="WW8Num112z0">
    <w:name w:val="WW8Num112z0"/>
    <w:qFormat/>
    <w:rPr>
      <w:rFonts w:ascii="Symbol" w:hAnsi="Symbol" w:cs="Symbol"/>
      <w:sz w:val="24"/>
    </w:rPr>
  </w:style>
  <w:style w:type="character" w:styleId="WW8Num113z1">
    <w:name w:val="WW8Num113z1"/>
    <w:qFormat/>
    <w:rPr/>
  </w:style>
  <w:style w:type="character" w:styleId="WW8Num114z0">
    <w:name w:val="WW8Num114z0"/>
    <w:qFormat/>
    <w:rPr>
      <w:rFonts w:ascii="Symbol" w:hAnsi="Symbol" w:cs="Symbol"/>
    </w:rPr>
  </w:style>
  <w:style w:type="character" w:styleId="WW8Num115z0">
    <w:name w:val="WW8Num115z0"/>
    <w:qFormat/>
    <w:rPr>
      <w:rFonts w:ascii="Symbol" w:hAnsi="Symbol" w:cs="Symbol"/>
      <w:sz w:val="28"/>
    </w:rPr>
  </w:style>
  <w:style w:type="character" w:styleId="WW8Num116z0">
    <w:name w:val="WW8Num116z0"/>
    <w:qFormat/>
    <w:rPr>
      <w:b w:val="false"/>
      <w:i w:val="false"/>
      <w:strike w:val="false"/>
      <w:dstrike w:val="false"/>
      <w:position w:val="0"/>
      <w:sz w:val="24"/>
      <w:vertAlign w:val="baseline"/>
    </w:rPr>
  </w:style>
  <w:style w:type="character" w:styleId="WW8Num117z0">
    <w:name w:val="WW8Num117z0"/>
    <w:qFormat/>
    <w:rPr>
      <w:rFonts w:ascii="Symbol" w:hAnsi="Symbol" w:cs="Symbol"/>
      <w:color w:val="auto"/>
      <w:sz w:val="24"/>
    </w:rPr>
  </w:style>
  <w:style w:type="character" w:styleId="WW8Num119z0">
    <w:name w:val="WW8Num119z0"/>
    <w:qFormat/>
    <w:rPr>
      <w:rFonts w:ascii="Symbol" w:hAnsi="Symbol" w:cs="Symbol"/>
      <w:strike w:val="false"/>
      <w:dstrike w:val="false"/>
      <w:color w:val="auto"/>
      <w:sz w:val="24"/>
    </w:rPr>
  </w:style>
  <w:style w:type="character" w:styleId="WW8Num120z0">
    <w:name w:val="WW8Num120z0"/>
    <w:qFormat/>
    <w:rPr>
      <w:rFonts w:ascii="Symbol" w:hAnsi="Symbol" w:cs="Symbol"/>
      <w:color w:val="auto"/>
      <w:sz w:val="24"/>
    </w:rPr>
  </w:style>
  <w:style w:type="character" w:styleId="WW8Num121z0">
    <w:name w:val="WW8Num121z0"/>
    <w:qFormat/>
    <w:rPr>
      <w:rFonts w:ascii="Symbol" w:hAnsi="Symbol" w:cs="Symbol"/>
    </w:rPr>
  </w:style>
  <w:style w:type="character" w:styleId="WW8Num123z0">
    <w:name w:val="WW8Num123z0"/>
    <w:qFormat/>
    <w:rPr>
      <w:b w:val="false"/>
      <w:i w:val="false"/>
      <w:caps w:val="false"/>
      <w:smallCaps w:val="false"/>
      <w:strike w:val="false"/>
      <w:dstrike w:val="false"/>
      <w:shadow w:val="false"/>
      <w:vanish w:val="false"/>
      <w:color w:val="auto"/>
      <w:position w:val="0"/>
      <w:sz w:val="24"/>
      <w:vertAlign w:val="baseline"/>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Times New Roman" w:hAnsi="Times New Roman" w:cs="Times New Roman"/>
    </w:rPr>
  </w:style>
  <w:style w:type="character" w:styleId="WW8Num130z0">
    <w:name w:val="WW8Num130z0"/>
    <w:qFormat/>
    <w:rPr>
      <w:b w:val="false"/>
      <w:i w:val="false"/>
      <w:strike w:val="false"/>
      <w:dstrike w:val="false"/>
      <w:position w:val="0"/>
      <w:sz w:val="24"/>
      <w:vertAlign w:val="baseline"/>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color w:val="auto"/>
      <w:sz w:val="24"/>
    </w:rPr>
  </w:style>
  <w:style w:type="character" w:styleId="WW8Num133z0">
    <w:name w:val="WW8Num133z0"/>
    <w:qFormat/>
    <w:rPr>
      <w:rFonts w:ascii="Symbol" w:hAnsi="Symbol" w:cs="Symbol"/>
      <w:sz w:val="24"/>
    </w:rPr>
  </w:style>
  <w:style w:type="character" w:styleId="WW8Num134z0">
    <w:name w:val="WW8Num134z0"/>
    <w:qFormat/>
    <w:rPr>
      <w:b/>
      <w:i w:val="false"/>
      <w:strike w:val="false"/>
      <w:dstrike w:val="false"/>
    </w:rPr>
  </w:style>
  <w:style w:type="character" w:styleId="WW8Num135z0">
    <w:name w:val="WW8Num135z0"/>
    <w:qFormat/>
    <w:rPr/>
  </w:style>
  <w:style w:type="character" w:styleId="WW8Num136z0">
    <w:name w:val="WW8Num136z0"/>
    <w:qFormat/>
    <w:rPr>
      <w:rFonts w:ascii="Symbol" w:hAnsi="Symbol" w:cs="Symbol"/>
    </w:rPr>
  </w:style>
  <w:style w:type="character" w:styleId="WW8Num136z2">
    <w:name w:val="WW8Num136z2"/>
    <w:qFormat/>
    <w:rPr>
      <w:rFonts w:ascii="Wingdings" w:hAnsi="Wingdings" w:cs="Wingdings"/>
    </w:rPr>
  </w:style>
  <w:style w:type="character" w:styleId="WW8Num136z4">
    <w:name w:val="WW8Num136z4"/>
    <w:qFormat/>
    <w:rPr>
      <w:rFonts w:ascii="Courier New" w:hAnsi="Courier New" w:cs="Courier New"/>
    </w:rPr>
  </w:style>
  <w:style w:type="character" w:styleId="WW8Num137z0">
    <w:name w:val="WW8Num137z0"/>
    <w:qFormat/>
    <w:rPr>
      <w:caps w:val="false"/>
      <w:smallCaps w:val="false"/>
      <w:strike w:val="false"/>
      <w:dstrike w:val="false"/>
      <w:shadow w:val="false"/>
      <w:vanish w:val="false"/>
      <w:color w:val="auto"/>
      <w:position w:val="0"/>
      <w:sz w:val="24"/>
      <w:vertAlign w:val="baseline"/>
    </w:rPr>
  </w:style>
  <w:style w:type="character" w:styleId="WW8Num138z0">
    <w:name w:val="WW8Num138z0"/>
    <w:qFormat/>
    <w:rPr>
      <w:rFonts w:ascii="Symbol" w:hAnsi="Symbol" w:cs="Symbol"/>
      <w:sz w:val="24"/>
    </w:rPr>
  </w:style>
  <w:style w:type="character" w:styleId="WW8Num139z0">
    <w:name w:val="WW8Num139z0"/>
    <w:qFormat/>
    <w:rPr>
      <w:rFonts w:ascii="Symbol" w:hAnsi="Symbol" w:cs="Symbol"/>
      <w:strike w:val="false"/>
      <w:dstrike w:val="false"/>
      <w:sz w:val="24"/>
    </w:rPr>
  </w:style>
  <w:style w:type="character" w:styleId="WW8Num141z0">
    <w:name w:val="WW8Num141z0"/>
    <w:qFormat/>
    <w:rPr/>
  </w:style>
  <w:style w:type="character" w:styleId="WW8Num142z0">
    <w:name w:val="WW8Num142z0"/>
    <w:qFormat/>
    <w:rPr>
      <w:rFonts w:ascii="Symbol" w:hAnsi="Symbol" w:cs="Symbol"/>
      <w:strike w:val="false"/>
      <w:dstrike w:val="false"/>
      <w:sz w:val="24"/>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color w:val="auto"/>
      <w:sz w:val="24"/>
    </w:rPr>
  </w:style>
  <w:style w:type="character" w:styleId="WW8Num147z0">
    <w:name w:val="WW8Num147z0"/>
    <w:qFormat/>
    <w:rPr>
      <w:rFonts w:ascii="Symbol" w:hAnsi="Symbol" w:cs="Symbol"/>
    </w:rPr>
  </w:style>
  <w:style w:type="character" w:styleId="WW8Num148z0">
    <w:name w:val="WW8Num148z0"/>
    <w:qFormat/>
    <w:rPr>
      <w:rFonts w:ascii="Symbol" w:hAnsi="Symbol" w:cs="Symbol"/>
      <w:sz w:val="24"/>
    </w:rPr>
  </w:style>
  <w:style w:type="character" w:styleId="WW8Num149z0">
    <w:name w:val="WW8Num149z0"/>
    <w:qFormat/>
    <w:rPr>
      <w:strike w:val="false"/>
      <w:dstrike w:val="false"/>
      <w:position w:val="0"/>
      <w:sz w:val="24"/>
      <w:vertAlign w:val="baseline"/>
    </w:rPr>
  </w:style>
  <w:style w:type="character" w:styleId="WW8Num150z0">
    <w:name w:val="WW8Num150z0"/>
    <w:qFormat/>
    <w:rPr>
      <w:rFonts w:ascii="Symbol" w:hAnsi="Symbol" w:cs="Symbol"/>
      <w:strike w:val="false"/>
      <w:dstrike w:val="false"/>
      <w:sz w:val="24"/>
    </w:rPr>
  </w:style>
  <w:style w:type="character" w:styleId="WW8Num151z0">
    <w:name w:val="WW8Num151z0"/>
    <w:qFormat/>
    <w:rPr>
      <w:rFonts w:ascii="Symbol" w:hAnsi="Symbol" w:cs="Symbol"/>
    </w:rPr>
  </w:style>
  <w:style w:type="character" w:styleId="WW8Num152z0">
    <w:name w:val="WW8Num152z0"/>
    <w:qFormat/>
    <w:rPr>
      <w:rFonts w:ascii="Symbol" w:hAnsi="Symbol" w:cs="Symbol"/>
      <w:sz w:val="24"/>
    </w:rPr>
  </w:style>
  <w:style w:type="character" w:styleId="WW8Num153z0">
    <w:name w:val="WW8Num153z0"/>
    <w:qFormat/>
    <w:rPr>
      <w:rFonts w:ascii="Wingdings" w:hAnsi="Wingdings" w:cs="Wingdings"/>
    </w:rPr>
  </w:style>
  <w:style w:type="character" w:styleId="WW8Num154z0">
    <w:name w:val="WW8Num154z0"/>
    <w:qFormat/>
    <w:rPr>
      <w:rFonts w:ascii="Times New Roman" w:hAnsi="Times New Roman" w:cs="Times New Roman"/>
      <w:b w:val="false"/>
      <w:i w:val="false"/>
      <w:strike w:val="false"/>
      <w:dstrike w:val="false"/>
      <w:sz w:val="24"/>
    </w:rPr>
  </w:style>
  <w:style w:type="character" w:styleId="WW8Num154z1">
    <w:name w:val="WW8Num154z1"/>
    <w:qFormat/>
    <w:rPr>
      <w:rFonts w:ascii="Times New Roman" w:hAnsi="Times New Roman" w:cs="Times New Roman"/>
      <w:b w:val="false"/>
      <w:i w:val="false"/>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sz w:val="24"/>
    </w:rPr>
  </w:style>
  <w:style w:type="character" w:styleId="WW8Num157z0">
    <w:name w:val="WW8Num157z0"/>
    <w:qFormat/>
    <w:rPr>
      <w:rFonts w:ascii="Symbol" w:hAnsi="Symbol" w:cs="Symbol"/>
      <w:sz w:val="24"/>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i w:val="false"/>
    </w:rPr>
  </w:style>
  <w:style w:type="character" w:styleId="WW8Num161z0">
    <w:name w:val="WW8Num161z0"/>
    <w:qFormat/>
    <w:rPr>
      <w:rFonts w:ascii="Symbol" w:hAnsi="Symbol" w:cs="Symbol"/>
      <w:strike w:val="false"/>
      <w:dstrike w:val="false"/>
      <w:color w:val="auto"/>
      <w:sz w:val="24"/>
    </w:rPr>
  </w:style>
  <w:style w:type="character" w:styleId="WW8Num162z0">
    <w:name w:val="WW8Num16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u w:val="single"/>
    </w:rPr>
  </w:style>
  <w:style w:type="paragraph" w:styleId="BodyText">
    <w:name w:val="Body Text"/>
    <w:basedOn w:val="Normal"/>
    <w:pPr>
      <w:jc w:val="center"/>
    </w:pPr>
    <w:rPr>
      <w:sz w:val="22"/>
    </w:rPr>
  </w:style>
  <w:style w:type="paragraph" w:styleId="List">
    <w:name w:val="List"/>
    <w:basedOn w:val="Normal"/>
    <w:pPr>
      <w:spacing w:before="0" w:after="120"/>
      <w:ind w:hanging="360" w:start="360" w:end="0"/>
    </w:pPr>
    <w:rPr>
      <w:rFonts w:ascii="Arial" w:hAnsi="Arial" w:cs="Arial"/>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rPr>
      <w:b/>
      <w:sz w:val="24"/>
    </w:rPr>
  </w:style>
  <w:style w:type="paragraph" w:styleId="BlockText">
    <w:name w:val="Block Text"/>
    <w:basedOn w:val="Normal"/>
    <w:qFormat/>
    <w:pPr>
      <w:ind w:hanging="0" w:start="720" w:end="720"/>
    </w:pPr>
    <w:rPr>
      <w:b/>
      <w:i/>
      <w:sz w:val="24"/>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exact" w:line="200"/>
      <w:ind w:hanging="0" w:start="720" w:end="0"/>
    </w:pPr>
    <w:rPr>
      <w:b/>
      <w:sz w:val="18"/>
    </w:rPr>
  </w:style>
  <w:style w:type="paragraph" w:styleId="TOC2">
    <w:name w:val="toc 2"/>
    <w:basedOn w:val="Normal"/>
    <w:next w:val="Normal"/>
    <w:pPr>
      <w:tabs>
        <w:tab w:val="clear" w:pos="720"/>
        <w:tab w:val="left" w:pos="630" w:leader="none"/>
        <w:tab w:val="right" w:pos="8640" w:leader="underscore"/>
      </w:tabs>
      <w:spacing w:before="120" w:after="0"/>
      <w:ind w:hanging="1690" w:start="1890" w:end="0"/>
    </w:pPr>
    <w:rPr>
      <w:b/>
      <w:sz w:val="28"/>
      <w:lang w:val="en-CA"/>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720" w:end="0"/>
    </w:pPr>
    <w:rPr>
      <w:b/>
      <w:sz w:val="24"/>
    </w:rPr>
  </w:style>
  <w:style w:type="paragraph" w:styleId="BodyText1">
    <w:name w:val="BodyText"/>
    <w:basedOn w:val="Normal"/>
    <w:qFormat/>
    <w:pPr>
      <w:spacing w:before="120" w:after="120"/>
    </w:pPr>
    <w:rPr>
      <w:sz w:val="24"/>
    </w:rPr>
  </w:style>
  <w:style w:type="paragraph" w:styleId="BodyTextBullet">
    <w:name w:val="BodyTextBullet"/>
    <w:basedOn w:val="BodyText1"/>
    <w:qFormat/>
    <w:pPr>
      <w:numPr>
        <w:ilvl w:val="0"/>
        <w:numId w:val="46"/>
      </w:numPr>
      <w:tabs>
        <w:tab w:val="left" w:pos="720" w:leader="none"/>
      </w:tabs>
      <w:spacing w:before="60" w:after="60"/>
      <w:ind w:hanging="0" w:start="720" w:end="0"/>
    </w:pPr>
    <w:rPr/>
  </w:style>
  <w:style w:type="paragraph" w:styleId="TableTitle">
    <w:name w:val="TableTitle"/>
    <w:qFormat/>
    <w:pPr>
      <w:widowControl/>
      <w:bidi w:val="0"/>
      <w:spacing w:before="240" w:after="240"/>
    </w:pPr>
    <w:rPr>
      <w:rFonts w:ascii="Times New Roman" w:hAnsi="Times New Roman" w:eastAsia="Times New Roman" w:cs="Times New Roman"/>
      <w:b/>
      <w:smallCaps/>
      <w:color w:val="auto"/>
      <w:sz w:val="20"/>
      <w:szCs w:val="20"/>
      <w:lang w:val="en-US" w:eastAsia="en-CA" w:bidi="ar-SA"/>
    </w:rPr>
  </w:style>
  <w:style w:type="paragraph" w:styleId="TableText">
    <w:name w:val="TableText"/>
    <w:basedOn w:val="TableTitle"/>
    <w:qFormat/>
    <w:pPr>
      <w:spacing w:before="120" w:after="120"/>
    </w:pPr>
    <w:rPr>
      <w:b w:val="false"/>
      <w:caps w:val="false"/>
      <w:smallCaps w:val="false"/>
    </w:rPr>
  </w:style>
  <w:style w:type="paragraph" w:styleId="DocTitle">
    <w:name w:val="DocTitle"/>
    <w:basedOn w:val="Heading1"/>
    <w:qFormat/>
    <w:pPr>
      <w:numPr>
        <w:ilvl w:val="0"/>
        <w:numId w:val="0"/>
      </w:numPr>
      <w:spacing w:before="240" w:after="60"/>
      <w:jc w:val="start"/>
      <w:outlineLvl w:val="9"/>
    </w:pPr>
    <w:rPr>
      <w:kern w:val="2"/>
      <w:sz w:val="52"/>
    </w:rPr>
  </w:style>
  <w:style w:type="paragraph" w:styleId="DocTitle2">
    <w:name w:val="DocTitle2"/>
    <w:basedOn w:val="DocTitle"/>
    <w:qFormat/>
    <w:pPr>
      <w:spacing w:before="120" w:after="60"/>
    </w:pPr>
    <w:rPr>
      <w:b/>
    </w:rPr>
  </w:style>
  <w:style w:type="paragraph" w:styleId="DocTitle3">
    <w:name w:val="DocTitle3"/>
    <w:basedOn w:val="DocTitle"/>
    <w:qFormat/>
    <w:pPr>
      <w:spacing w:before="600" w:after="60"/>
    </w:pPr>
    <w:rPr>
      <w:b/>
      <w:smallCaps/>
      <w:spacing w:val="30"/>
      <w:sz w:val="40"/>
    </w:rPr>
  </w:style>
  <w:style w:type="paragraph" w:styleId="DocTitleDate">
    <w:name w:val="DocTitleDate"/>
    <w:basedOn w:val="DocTitle"/>
    <w:qFormat/>
    <w:pPr/>
    <w:rPr>
      <w:smallCaps/>
      <w:spacing w:val="20"/>
      <w:sz w:val="28"/>
    </w:rPr>
  </w:style>
  <w:style w:type="paragraph" w:styleId="DocTitlePrepAsst">
    <w:name w:val="DocTitlePrepAsst"/>
    <w:basedOn w:val="DocTitleDate"/>
    <w:qFormat/>
    <w:pPr>
      <w:spacing w:before="6600" w:after="60"/>
      <w:jc w:val="end"/>
    </w:pPr>
    <w:rPr>
      <w:sz w:val="20"/>
    </w:rPr>
  </w:style>
  <w:style w:type="paragraph" w:styleId="DocTitle4">
    <w:name w:val="DocTitle4"/>
    <w:basedOn w:val="DocTitle3"/>
    <w:qFormat/>
    <w:pPr>
      <w:spacing w:before="240" w:after="60"/>
    </w:pPr>
    <w:rPr>
      <w:i/>
      <w:sz w:val="36"/>
    </w:rPr>
  </w:style>
  <w:style w:type="paragraph" w:styleId="TOC1">
    <w:name w:val="toc 1"/>
    <w:basedOn w:val="Normal"/>
    <w:next w:val="Normal"/>
    <w:pPr>
      <w:spacing w:before="120" w:after="120"/>
    </w:pPr>
    <w:rPr>
      <w:b/>
      <w:caps/>
    </w:rPr>
  </w:style>
  <w:style w:type="paragraph" w:styleId="BodyTextEnum">
    <w:name w:val="BodyTextEnum"/>
    <w:basedOn w:val="BodyTextBullet"/>
    <w:qFormat/>
    <w:pPr>
      <w:numPr>
        <w:ilvl w:val="0"/>
        <w:numId w:val="59"/>
      </w:numPr>
      <w:ind w:hanging="0" w:start="360" w:end="0"/>
    </w:pPr>
    <w:rPr/>
  </w:style>
  <w:style w:type="paragraph" w:styleId="DocTitleHPMI">
    <w:name w:val="DocTitleHPMI"/>
    <w:qFormat/>
    <w:pPr>
      <w:widowControl/>
      <w:bidi w:val="0"/>
      <w:spacing w:before="60" w:after="0"/>
      <w:jc w:val="end"/>
    </w:pPr>
    <w:rPr>
      <w:rFonts w:ascii="Garamond" w:hAnsi="Garamond" w:eastAsia="Times New Roman" w:cs="Garamond"/>
      <w:b/>
      <w:color w:val="auto"/>
      <w:sz w:val="20"/>
      <w:szCs w:val="20"/>
      <w:lang w:val="en-US" w:eastAsia="en-CA" w:bidi="ar-SA"/>
    </w:rPr>
  </w:style>
  <w:style w:type="paragraph" w:styleId="EndnoteText">
    <w:name w:val="endnote text"/>
    <w:basedOn w:val="Normal"/>
    <w:pPr/>
    <w:rPr/>
  </w:style>
  <w:style w:type="paragraph" w:styleId="FootnoteText">
    <w:name w:val="footnote text"/>
    <w:basedOn w:val="Normal"/>
    <w:pPr/>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ullet1">
    <w:name w:val="Bullet 1"/>
    <w:basedOn w:val="Normal"/>
    <w:qFormat/>
    <w:pPr>
      <w:numPr>
        <w:ilvl w:val="0"/>
        <w:numId w:val="28"/>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isb.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2001-01-24T13:50:00Z</dcterms:created>
  <dc:creator>State of New York</dc:creator>
  <dc:description/>
  <dc:language>en-CA</dc:language>
  <cp:lastModifiedBy>NYS</cp:lastModifiedBy>
  <cp:lastPrinted>2001-01-24T11:50:00Z</cp:lastPrinted>
  <dcterms:modified xsi:type="dcterms:W3CDTF">2001-01-24T17:26:00Z</dcterms:modified>
  <cp:revision>18</cp:revision>
  <dc:subject/>
  <dc:title>NY EDI Architecture Proposal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1236134472</vt:r8>
  </property>
  <property fmtid="{D5CDD505-2E9C-101B-9397-08002B2CF9AE}" pid="3" name="_AuthorEmail">
    <vt:lpwstr>dave.darnell@systrends.com</vt:lpwstr>
  </property>
  <property fmtid="{D5CDD505-2E9C-101B-9397-08002B2CF9AE}" pid="4" name="_AuthorEmailDisplayName">
    <vt:lpwstr>Dave Darnell</vt:lpwstr>
  </property>
  <property fmtid="{D5CDD505-2E9C-101B-9397-08002B2CF9AE}" pid="5" name="_EmailSubject">
    <vt:lpwstr>Interchange Acknowledgments </vt:lpwstr>
  </property>
</Properties>
</file>