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60"/>
        <w:jc w:val="center"/>
        <w:rPr/>
      </w:pPr>
      <w:r>
        <w:rPr/>
        <w:t xml:space="preserve">NYSRC ICAP WORKING GROUP </w:t>
      </w:r>
    </w:p>
    <w:p>
      <w:pPr>
        <w:pStyle w:val="Subtitle"/>
        <w:rPr/>
      </w:pPr>
      <w:r>
        <w:rPr/>
        <w:t>CONFERENCE CALL No.  12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Dat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4, 2002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9:30 a.m. – 12:30 p.m. 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Dial In:  517-267-0146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Participation Code 552501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tabs>
          <w:tab w:val="clear" w:pos="720"/>
          <w:tab w:val="left" w:pos="0" w:leader="none"/>
        </w:tabs>
        <w:ind w:hanging="360" w:start="360"/>
        <w:jc w:val="center"/>
        <w:rPr/>
      </w:pPr>
      <w:r>
        <w:rPr/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2"/>
        <w:tabs>
          <w:tab w:val="clear" w:pos="1710"/>
          <w:tab w:val="left" w:pos="-1080" w:leader="none"/>
          <w:tab w:val="left" w:pos="-720" w:leader="none"/>
          <w:tab w:val="left" w:pos="1" w:leader="none"/>
          <w:tab w:val="left" w:pos="720" w:leader="none"/>
          <w:tab w:val="left" w:pos="1350" w:leader="none"/>
          <w:tab w:val="left" w:pos="1620" w:leader="none"/>
          <w:tab w:val="left" w:pos="1800" w:leader="none"/>
          <w:tab w:val="left" w:pos="1890" w:leader="none"/>
          <w:tab w:val="left" w:pos="216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0" w:end="0"/>
        <w:jc w:val="both"/>
        <w:rPr>
          <w:b/>
          <w:bCs/>
        </w:rPr>
      </w:pPr>
      <w:r>
        <w:rPr>
          <w:b/>
          <w:bCs/>
        </w:rPr>
        <w:t>1.0</w:t>
        <w:tab/>
        <w:t>ICAP WG Assignments for 2002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1.1</w:t>
        <w:tab/>
        <w:t>Deliverability Study (Dahl)</w:t>
      </w:r>
    </w:p>
    <w:p>
      <w:pPr>
        <w:pStyle w:val="Normal"/>
        <w:rPr/>
      </w:pPr>
      <w:r>
        <w:rPr/>
        <w:t>1.2</w:t>
        <w:tab/>
        <w:t>Review NYSRC Resource Adequacy Criterion (Dahl/Adamson)</w:t>
      </w:r>
    </w:p>
    <w:p>
      <w:pPr>
        <w:pStyle w:val="Normal"/>
        <w:rPr/>
      </w:pPr>
      <w:r>
        <w:rPr/>
        <w:t>1.3</w:t>
        <w:tab/>
        <w:t>Prepare for 2003-04 IRM Study (Dahl/Adamson)</w:t>
      </w:r>
    </w:p>
    <w:p>
      <w:pPr>
        <w:pStyle w:val="BodyText"/>
        <w:rPr/>
      </w:pPr>
      <w:r>
        <w:rPr/>
        <w:t>1.3.1</w:t>
        <w:tab/>
        <w:tab/>
        <w:t>Outage Rates for new GTs (Vitale)</w:t>
      </w:r>
    </w:p>
    <w:p>
      <w:pPr>
        <w:pStyle w:val="Normal"/>
        <w:rPr/>
      </w:pPr>
      <w:r>
        <w:rPr/>
        <w:t>1.4</w:t>
        <w:tab/>
        <w:t>Scope of Northeast RTO IRM Study (Adamson)</w:t>
      </w:r>
    </w:p>
    <w:p>
      <w:pPr>
        <w:pStyle w:val="Normal"/>
        <w:rPr/>
      </w:pPr>
      <w:r>
        <w:rPr/>
        <w:t>1.5</w:t>
        <w:tab/>
        <w:t>NYSERDA/NYISO Gas Study (Dahl)</w:t>
      </w:r>
    </w:p>
    <w:p>
      <w:pPr>
        <w:pStyle w:val="Normal"/>
        <w:rPr/>
      </w:pPr>
      <w:r>
        <w:rPr/>
        <w:t>1.6</w:t>
        <w:tab/>
        <w:t>Report on NYISO ICAP WG Activities (Desell/Drake)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1710"/>
          <w:tab w:val="left" w:pos="-1080" w:leader="none"/>
          <w:tab w:val="left" w:pos="-720" w:leader="none"/>
          <w:tab w:val="left" w:pos="1" w:leader="none"/>
          <w:tab w:val="left" w:pos="720" w:leader="none"/>
          <w:tab w:val="left" w:pos="1350" w:leader="none"/>
          <w:tab w:val="left" w:pos="1620" w:leader="none"/>
          <w:tab w:val="left" w:pos="1800" w:leader="none"/>
          <w:tab w:val="left" w:pos="1890" w:leader="none"/>
          <w:tab w:val="left" w:pos="216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0" w:end="0"/>
        <w:jc w:val="both"/>
        <w:rPr>
          <w:b/>
          <w:bCs/>
        </w:rPr>
      </w:pPr>
      <w:r>
        <w:rPr>
          <w:b/>
          <w:bCs/>
        </w:rPr>
        <w:t>2.0</w:t>
        <w:tab/>
        <w:t xml:space="preserve"> Discuss NYISO 2002-03 Locational Capacity Study Results (Desell/Drake)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/>
      </w:pPr>
      <w:r>
        <w:rPr/>
        <w:t>2.1</w:t>
        <w:tab/>
        <w:t>Con Edison – PJM Firm Transmission Issue (Desell/Drake)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3.0</w:t>
        <w:tab/>
        <w:t>Other Business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4.0</w:t>
        <w:tab/>
        <w:t>Review Action Items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5.0</w:t>
        <w:tab/>
        <w:t>Next Meeting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pStyle w:val="Heading1"/>
      <w:numFmt w:val="upp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</w:tabs>
      <w:spacing w:before="240" w:after="60"/>
      <w:ind w:hanging="360" w:start="360"/>
      <w:outlineLvl w:val="0"/>
    </w:pPr>
    <w:rPr>
      <w:rFonts w:ascii="Arial" w:hAnsi="Arial" w:eastAsia="Arial" w:cs="Arial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1080" w:leader="none"/>
        <w:tab w:val="left" w:pos="-720" w:leader="none"/>
        <w:tab w:val="left" w:pos="1" w:leader="none"/>
        <w:tab w:val="left" w:pos="720" w:leader="none"/>
        <w:tab w:val="left" w:pos="1350" w:leader="none"/>
        <w:tab w:val="left" w:pos="1620" w:leader="none"/>
        <w:tab w:val="left" w:pos="1710" w:leader="none"/>
        <w:tab w:val="left" w:pos="1800" w:leader="none"/>
        <w:tab w:val="left" w:pos="1890" w:leader="none"/>
        <w:tab w:val="left" w:pos="2160" w:leader="none"/>
        <w:tab w:val="left" w:pos="2880" w:leader="none"/>
        <w:tab w:val="left" w:pos="3240" w:leader="none"/>
        <w:tab w:val="left" w:pos="3600" w:leader="none"/>
        <w:tab w:val="left" w:pos="3960" w:leader="none"/>
        <w:tab w:val="left" w:pos="4320" w:leader="none"/>
        <w:tab w:val="left" w:pos="4680" w:leader="none"/>
        <w:tab w:val="left" w:pos="5040" w:leader="none"/>
        <w:tab w:val="left" w:pos="5400" w:leader="none"/>
        <w:tab w:val="left" w:pos="5760" w:leader="none"/>
        <w:tab w:val="left" w:pos="612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ind w:hanging="360" w:start="1710" w:end="0"/>
      <w:outlineLvl w:val="1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eastAsia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eastAsia="Arial" w:cs="Arial"/>
    </w:rPr>
  </w:style>
  <w:style w:type="paragraph" w:styleId="Date">
    <w:name w:val="Date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2002-02-26T19:32:00Z</dcterms:created>
  <dc:creator>MHogan</dc:creator>
  <dc:description/>
  <dc:language>en-CA</dc:language>
  <cp:lastModifiedBy>KeySpan Energy</cp:lastModifiedBy>
  <cp:lastPrinted>2002-02-26T15:33:00Z</cp:lastPrinted>
  <dcterms:modified xsi:type="dcterms:W3CDTF">2002-02-26T19:32:00Z</dcterms:modified>
  <cp:revision>2</cp:revision>
  <dc:subject/>
  <dc:title>NYSRC ICAP WORKING GROUP </dc:title>
</cp:coreProperties>
</file>