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February 20,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New York State Electric &amp; Gas Corporation</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Tom Donnelly</w:t>
      </w:r>
      <w:r>
        <w:rPr>
          <w:sz w:val="22"/>
        </w:rPr>
        <w:fldChar w:fldCharType="end"/>
      </w:r>
    </w:p>
    <w:p>
      <w:pPr>
        <w:pStyle w:val="Normal"/>
        <w:rPr>
          <w:sz w:val="22"/>
        </w:rPr>
      </w:pPr>
      <w:r>
        <w:rPr>
          <w:sz w:val="22"/>
        </w:rPr>
        <w:t>Fax No.:</w:t>
        <w:tab/>
        <w:tab/>
        <w:tab/>
        <w:t>(607) 771-0798</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527173.01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t xml:space="preserve"> </w:t>
            </w:r>
            <w:r>
              <w:rPr>
                <w:sz w:val="22"/>
              </w:rPr>
              <w:t>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February 20,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March 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March 31,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March 1, 2001 and ending on March 31, 2001</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234" w:hRule="atLeast"/>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$39.25/MWh.</w:t>
            </w:r>
            <w:r>
              <w:rPr>
                <w:sz w:val="22"/>
              </w:rPr>
              <w:fldChar w:fldCharType="end"/>
            </w:r>
          </w:p>
        </w:tc>
      </w:tr>
    </w:tbl>
    <w:p>
      <w:pPr>
        <w:pStyle w:val="Normal"/>
        <w:rPr>
          <w:sz w:val="22"/>
        </w:rPr>
      </w:pPr>
      <w:r>
        <w:rPr>
          <w:sz w:val="22"/>
        </w:rPr>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West (61752) (Zone A)”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two (2) decimal places.  If the third (3</w:t>
            </w:r>
            <w:r>
              <w:rPr>
                <w:sz w:val="22"/>
                <w:vertAlign w:val="superscript"/>
              </w:rPr>
              <w:t>rd</w:t>
            </w:r>
            <w:r>
              <w:rPr>
                <w:sz w:val="22"/>
              </w:rPr>
              <w:t>) decimal number is five (5) or greater, then the second (2</w:t>
            </w:r>
            <w:r>
              <w:rPr>
                <w:sz w:val="22"/>
                <w:vertAlign w:val="superscript"/>
              </w:rPr>
              <w:t>nd</w:t>
            </w:r>
            <w:r>
              <w:rPr>
                <w:sz w:val="22"/>
              </w:rPr>
              <w:t>) decimal number shall be increased by one (1), and if the third (3</w:t>
            </w:r>
            <w:r>
              <w:rPr>
                <w:sz w:val="22"/>
                <w:vertAlign w:val="superscript"/>
              </w:rPr>
              <w:t>rd</w:t>
            </w:r>
            <w:r>
              <w:rPr>
                <w:sz w:val="22"/>
              </w:rPr>
              <w:t>) decimal number is less than five (5), then the second (2</w:t>
            </w:r>
            <w:r>
              <w:rPr>
                <w:sz w:val="22"/>
                <w:vertAlign w:val="superscript"/>
              </w:rPr>
              <w:t>nd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New York State Electric &amp; Gas Corporation</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February 21,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527173.01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2001-03-15T11:08:00Z</dcterms:created>
  <dc:creator>ECT</dc:creator>
  <dc:description/>
  <dc:language>en-CA</dc:language>
  <cp:lastModifiedBy>mmurphy</cp:lastModifiedBy>
  <dcterms:modified xsi:type="dcterms:W3CDTF">2001-03-15T11:08:00Z</dcterms:modified>
  <cp:revision>2</cp:revision>
  <dc:subject/>
  <dc:title>527173.01</dc:title>
</cp:coreProperties>
</file>