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ONYHeading"/>
        <w:rPr/>
      </w:pPr>
      <w:r>
        <w:rPr/>
        <w:t>STATE OF NEW YORK DEPARTMENT OF PUBLIC SERVICE</w:t>
      </w:r>
    </w:p>
    <w:p>
      <w:pPr>
        <w:pStyle w:val="AddressHeading"/>
        <w:rPr/>
      </w:pPr>
      <w:r>
        <w:rPr/>
        <w:t>THREE EMPIRE STATE PLAZA, ALBANY, NY  12223-1350</w:t>
      </w:r>
    </w:p>
    <w:p>
      <w:pPr>
        <w:pStyle w:val="InternetHeading"/>
        <w:rPr/>
      </w:pPr>
      <w:r>
        <w:drawing>
          <wp:anchor behindDoc="0" distT="0" distB="0" distL="114935" distR="114935" simplePos="0" locked="0" layoutInCell="1" allowOverlap="1" relativeHeight="2">
            <wp:simplePos x="0" y="0"/>
            <wp:positionH relativeFrom="column">
              <wp:posOffset>2834640</wp:posOffset>
            </wp:positionH>
            <wp:positionV relativeFrom="paragraph">
              <wp:posOffset>307975</wp:posOffset>
            </wp:positionV>
            <wp:extent cx="1076325" cy="11525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3" t="-31" r="-33" b="-31"/>
                    <a:stretch>
                      <a:fillRect/>
                    </a:stretch>
                  </pic:blipFill>
                  <pic:spPr bwMode="auto">
                    <a:xfrm>
                      <a:off x="0" y="0"/>
                      <a:ext cx="1076325" cy="1152525"/>
                    </a:xfrm>
                    <a:prstGeom prst="rect">
                      <a:avLst/>
                    </a:prstGeom>
                    <a:noFill/>
                  </pic:spPr>
                </pic:pic>
              </a:graphicData>
            </a:graphic>
          </wp:anchor>
        </w:drawing>
      </w:r>
      <w:r>
        <w:rPr/>
        <w:t>Internet Address:  http://www.dps.state.ny.us</w:t>
      </w:r>
    </w:p>
    <w:p>
      <w:pPr>
        <w:pStyle w:val="Normal"/>
        <w:jc w:val="center"/>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amesHeading"/>
        <w:rPr/>
      </w:pPr>
      <w:r>
        <w:rPr/>
        <w:t>PUBLIC SERVICE COMMISSION</w:t>
      </w:r>
    </w:p>
    <w:p>
      <w:pPr>
        <w:pStyle w:val="Normal"/>
        <w:rPr>
          <w:b/>
          <w:sz w:val="16"/>
        </w:rPr>
      </w:pPr>
      <w:r>
        <w:rPr>
          <w:b/>
          <w:sz w:val="16"/>
        </w:rPr>
        <w:tab/>
        <w:tab/>
        <w:tab/>
        <w:tab/>
        <w:tab/>
        <w:tab/>
        <w:tab/>
        <w:tab/>
        <w:tab/>
        <w:tab/>
        <w:tab/>
        <w:tab/>
        <w:t xml:space="preserve">       </w:t>
      </w:r>
    </w:p>
    <w:p>
      <w:pPr>
        <w:pStyle w:val="NamesHeading"/>
        <w:rPr>
          <w:i/>
          <w:i/>
        </w:rPr>
      </w:pPr>
      <w:r>
        <w:rPr/>
        <w:t>MAUREEN O. HELMER</w:t>
      </w:r>
      <w:r>
        <w:rPr>
          <w:i/>
          <w:sz w:val="14"/>
        </w:rPr>
        <w:tab/>
        <w:tab/>
        <w:tab/>
        <w:tab/>
        <w:tab/>
        <w:tab/>
        <w:tab/>
        <w:tab/>
        <w:tab/>
        <w:t xml:space="preserve"> </w:t>
        <w:tab/>
        <w:t xml:space="preserve">         </w:t>
      </w:r>
      <w:r>
        <w:rPr/>
        <w:t>LAWRENCE G. MALONE</w:t>
      </w:r>
      <w:r>
        <w:rPr>
          <w:i/>
          <w:sz w:val="14"/>
        </w:rPr>
        <w:t xml:space="preserve"> </w:t>
      </w:r>
    </w:p>
    <w:p>
      <w:pPr>
        <w:pStyle w:val="TitleHeading"/>
        <w:rPr/>
      </w:pPr>
      <w:r>
        <w:rPr/>
        <w:t xml:space="preserve">  </w:t>
      </w:r>
      <w:r>
        <w:rPr/>
        <w:t>Chairman</w:t>
        <w:tab/>
        <w:tab/>
        <w:tab/>
        <w:tab/>
        <w:tab/>
        <w:tab/>
        <w:tab/>
        <w:tab/>
        <w:tab/>
        <w:tab/>
        <w:tab/>
        <w:t xml:space="preserve">         General Counsel</w:t>
      </w:r>
    </w:p>
    <w:p>
      <w:pPr>
        <w:pStyle w:val="NamesHeading"/>
        <w:rPr/>
      </w:pPr>
      <w:r>
        <w:rPr/>
        <w:t>THOMAS J. DUNLEAVY</w:t>
        <w:tab/>
        <w:tab/>
        <w:tab/>
        <w:tab/>
        <w:tab/>
        <w:tab/>
        <w:tab/>
        <w:tab/>
        <w:tab/>
        <w:tab/>
        <w:t xml:space="preserve">       </w:t>
      </w:r>
    </w:p>
    <w:p>
      <w:pPr>
        <w:pStyle w:val="NamesHeading"/>
        <w:rPr/>
      </w:pPr>
      <w:r>
        <w:rPr/>
        <w:t>JAMES D. BENNETT</w:t>
        <w:tab/>
        <w:tab/>
        <w:tab/>
        <w:tab/>
        <w:tab/>
        <w:tab/>
        <w:tab/>
        <w:tab/>
        <w:tab/>
        <w:tab/>
        <w:t xml:space="preserve">       JANET HAND DEIXLER</w:t>
      </w:r>
    </w:p>
    <w:p>
      <w:pPr>
        <w:pStyle w:val="NamesHeading"/>
        <w:rPr/>
      </w:pPr>
      <w:r>
        <w:rPr/>
        <w:t>LEONARD A. WEISS</w:t>
        <w:tab/>
        <w:tab/>
        <w:tab/>
        <w:tab/>
        <w:tab/>
        <w:tab/>
        <w:tab/>
        <w:tab/>
        <w:tab/>
        <w:tab/>
        <w:t xml:space="preserve">         </w:t>
      </w:r>
      <w:r>
        <w:rPr>
          <w:i/>
        </w:rPr>
        <w:t>Secretary</w:t>
      </w:r>
    </w:p>
    <w:p>
      <w:pPr>
        <w:pStyle w:val="NamesHeading"/>
        <w:rPr/>
      </w:pPr>
      <w:r>
        <w:rPr/>
        <w:t>NEAL N. GALVIN</w:t>
        <w:tab/>
      </w:r>
    </w:p>
    <w:p>
      <w:pPr>
        <w:pStyle w:val="Normal"/>
        <w:rPr>
          <w:sz w:val="16"/>
        </w:rPr>
      </w:pPr>
      <w:r>
        <w:rPr>
          <w:sz w:val="16"/>
        </w:rPr>
      </w:r>
    </w:p>
    <w:p>
      <w:pPr>
        <w:sectPr>
          <w:footerReference w:type="default" r:id="rId3"/>
          <w:footerReference w:type="first" r:id="rId4"/>
          <w:type w:val="nextPage"/>
          <w:pgSz w:w="12240" w:h="15840"/>
          <w:pgMar w:left="720" w:right="432" w:gutter="0" w:header="0" w:top="720" w:footer="720" w:bottom="1440"/>
          <w:pgNumType w:fmt="decimal"/>
          <w:formProt w:val="false"/>
          <w:titlePg/>
          <w:textDirection w:val="lrTb"/>
          <w:docGrid w:type="default" w:linePitch="360" w:charSpace="0"/>
        </w:sectPr>
      </w:pPr>
    </w:p>
    <w:p>
      <w:pPr>
        <w:pStyle w:val="Normal"/>
        <w:rPr>
          <w:sz w:val="16"/>
        </w:rPr>
      </w:pPr>
      <w:r>
        <w:rPr>
          <w:sz w:val="16"/>
        </w:rPr>
      </w:r>
    </w:p>
    <w:p>
      <w:pPr>
        <w:pStyle w:val="Normal"/>
        <w:rPr/>
      </w:pPr>
      <w:r>
        <w:rPr/>
        <w:tab/>
        <w:tab/>
        <w:tab/>
        <w:tab/>
        <w:tab/>
      </w:r>
    </w:p>
    <w:p>
      <w:pPr>
        <w:pStyle w:val="Normal"/>
        <w:jc w:val="center"/>
        <w:rPr>
          <w:b/>
          <w:sz w:val="28"/>
        </w:rPr>
      </w:pPr>
      <w:r>
        <w:rPr>
          <w:b/>
          <w:sz w:val="28"/>
        </w:rPr>
        <w:t>NYS Department of Public Service</w:t>
      </w:r>
    </w:p>
    <w:p>
      <w:pPr>
        <w:pStyle w:val="Normal"/>
        <w:jc w:val="center"/>
        <w:rPr>
          <w:b/>
          <w:sz w:val="28"/>
        </w:rPr>
      </w:pPr>
      <w:r>
        <w:rPr>
          <w:b/>
          <w:sz w:val="28"/>
        </w:rPr>
        <w:t>Position on ICAP Issues</w:t>
      </w:r>
    </w:p>
    <w:p>
      <w:pPr>
        <w:pStyle w:val="Header"/>
        <w:tabs>
          <w:tab w:val="clear" w:pos="4320"/>
          <w:tab w:val="clear" w:pos="8640"/>
        </w:tabs>
        <w:rPr/>
      </w:pPr>
      <w:r>
        <w:rPr/>
      </w:r>
    </w:p>
    <w:p>
      <w:pPr>
        <w:pStyle w:val="Heading4"/>
        <w:ind w:hanging="0" w:start="0"/>
        <w:rPr/>
      </w:pPr>
      <w:r>
        <w:rPr/>
        <w:t>Summary</w:t>
      </w:r>
    </w:p>
    <w:p>
      <w:pPr>
        <w:pStyle w:val="Normal"/>
        <w:rPr/>
      </w:pPr>
      <w:r>
        <w:rPr/>
      </w:r>
    </w:p>
    <w:p>
      <w:pPr>
        <w:pStyle w:val="Normal"/>
        <w:rPr/>
      </w:pPr>
      <w:r>
        <w:rPr/>
        <w:tab/>
        <w:t xml:space="preserve">NYISO Committees and working groups have been working on important changes to the ICAP rules for many months.   Currently, the issues of UCAP and six vs. one month procurement period are being decided.  While the market participants have been working on these and other ICAP-related issues, a number of events have occurred.   For the reasons described below, Department Staff concludes that it is premature to act on the six vs. one month procurement period.  Further, there are numerous aspects of the ICAP design that may need to be re-considered.  A working group should review the ICAP rules from the bottom up to make sure that the process is consistent and effective in meeting its goals.  </w:t>
        <w:tab/>
      </w:r>
    </w:p>
    <w:p>
      <w:pPr>
        <w:pStyle w:val="Normal"/>
        <w:rPr/>
      </w:pPr>
      <w:r>
        <w:rPr/>
      </w:r>
    </w:p>
    <w:p>
      <w:pPr>
        <w:pStyle w:val="Heading4"/>
        <w:ind w:hanging="0" w:start="0"/>
        <w:rPr/>
      </w:pPr>
      <w:r>
        <w:rPr/>
        <w:t>Recent/Current Events</w:t>
      </w:r>
    </w:p>
    <w:p>
      <w:pPr>
        <w:pStyle w:val="Normal"/>
        <w:rPr/>
      </w:pPr>
      <w:r>
        <w:rPr/>
      </w:r>
    </w:p>
    <w:p>
      <w:pPr>
        <w:pStyle w:val="Normal"/>
        <w:rPr/>
      </w:pPr>
      <w:r>
        <w:rPr/>
        <w:tab/>
        <w:t>The FERC will soon consider a request from PJM to amend its ICAP rules including the length of its procurement period(s).  That order could be issued in June and may reach conclusions that would affect any decision to change the 6 month period for New York.  No action should be taken before FERC acts on the PJM application.</w:t>
      </w:r>
    </w:p>
    <w:p>
      <w:pPr>
        <w:pStyle w:val="Normal"/>
        <w:rPr/>
      </w:pPr>
      <w:r>
        <w:rPr/>
      </w:r>
    </w:p>
    <w:p>
      <w:pPr>
        <w:pStyle w:val="Normal"/>
        <w:rPr/>
      </w:pPr>
      <w:r>
        <w:rPr/>
        <w:tab/>
        <w:t xml:space="preserve">The results of the last deficiency auction raise questions about the basic assumptions that were made in designing the auction process, the deficiency penalties, and the length of the procurement period.  In particular, the original expectation that PJM, New England, Quebec, and Ontario generators would participate has not fully materialized.  The rules need to be re-considered in light of the decisions being made in surrounding regions that have, and will, affect the eligibility and interest of out-of-state providers. </w:t>
      </w:r>
    </w:p>
    <w:p>
      <w:pPr>
        <w:pStyle w:val="Normal"/>
        <w:rPr/>
      </w:pPr>
      <w:r>
        <w:rPr/>
      </w:r>
    </w:p>
    <w:p>
      <w:pPr>
        <w:pStyle w:val="Normal"/>
        <w:rPr/>
      </w:pPr>
      <w:r>
        <w:rPr/>
        <w:tab/>
        <w:t xml:space="preserve">The need to site new generation in New York is of critical importance, and we need to consider not only whether the ICAP rules promote the reliability needs for operating the system, but whether the ICAP rules and payments are likely to retain and attract the necessary generation for New York State.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t>List of ICAP Related Issues</w:t>
      </w:r>
    </w:p>
    <w:p>
      <w:pPr>
        <w:pStyle w:val="Normal"/>
        <w:rPr/>
      </w:pPr>
      <w:r>
        <w:rPr/>
      </w:r>
    </w:p>
    <w:p>
      <w:pPr>
        <w:pStyle w:val="Normal"/>
        <w:ind w:firstLine="720" w:end="0"/>
        <w:rPr/>
      </w:pPr>
      <w:r>
        <w:rPr/>
        <w:t>Market participants have worked on many of the ICAP issues on a stand-alone basis.  A comprehensive review of the ICAP procurement and payment rules which would consider, but not be limited to, each of the following should be initiated:</w:t>
      </w:r>
    </w:p>
    <w:p>
      <w:pPr>
        <w:pStyle w:val="Normal"/>
        <w:rPr/>
      </w:pPr>
      <w:r>
        <w:rPr/>
      </w:r>
    </w:p>
    <w:p>
      <w:pPr>
        <w:pStyle w:val="Normal"/>
        <w:numPr>
          <w:ilvl w:val="0"/>
          <w:numId w:val="2"/>
        </w:numPr>
        <w:ind w:hanging="0" w:start="720" w:end="0"/>
        <w:rPr/>
      </w:pPr>
      <w:r>
        <w:rPr/>
        <w:t>the need for additional generation in NYS;</w:t>
      </w:r>
    </w:p>
    <w:p>
      <w:pPr>
        <w:pStyle w:val="Normal"/>
        <w:ind w:start="720" w:end="0"/>
        <w:rPr/>
      </w:pPr>
      <w:r>
        <w:rPr/>
      </w:r>
    </w:p>
    <w:p>
      <w:pPr>
        <w:pStyle w:val="Normal"/>
        <w:numPr>
          <w:ilvl w:val="0"/>
          <w:numId w:val="2"/>
        </w:numPr>
        <w:tabs>
          <w:tab w:val="clear" w:pos="720"/>
        </w:tabs>
        <w:ind w:hanging="720" w:start="1440" w:end="0"/>
        <w:rPr/>
      </w:pPr>
      <w:r>
        <w:rPr/>
        <w:t>the process for securing ICAP if all requirements cannot be satisfied in the deficiency auction;</w:t>
      </w:r>
    </w:p>
    <w:p>
      <w:pPr>
        <w:pStyle w:val="Normal"/>
        <w:rPr/>
      </w:pPr>
      <w:r>
        <w:rPr/>
      </w:r>
    </w:p>
    <w:p>
      <w:pPr>
        <w:pStyle w:val="Normal"/>
        <w:numPr>
          <w:ilvl w:val="0"/>
          <w:numId w:val="2"/>
        </w:numPr>
        <w:ind w:hanging="0" w:start="720" w:end="0"/>
        <w:rPr/>
      </w:pPr>
      <w:r>
        <w:rPr/>
        <w:t>the correct level for the deficiency penalty;</w:t>
      </w:r>
    </w:p>
    <w:p>
      <w:pPr>
        <w:pStyle w:val="Normal"/>
        <w:rPr/>
      </w:pPr>
      <w:r>
        <w:rPr/>
      </w:r>
    </w:p>
    <w:p>
      <w:pPr>
        <w:pStyle w:val="Normal"/>
        <w:numPr>
          <w:ilvl w:val="0"/>
          <w:numId w:val="2"/>
        </w:numPr>
        <w:tabs>
          <w:tab w:val="clear" w:pos="720"/>
          <w:tab w:val="left" w:pos="1440" w:leader="none"/>
        </w:tabs>
        <w:ind w:hanging="720" w:start="1440" w:end="0"/>
        <w:rPr/>
      </w:pPr>
      <w:r>
        <w:rPr/>
        <w:t>how to distribute the dollars collected for deficiency penalties when inadequate ICAP exists;</w:t>
      </w:r>
    </w:p>
    <w:p>
      <w:pPr>
        <w:pStyle w:val="Normal"/>
        <w:rPr/>
      </w:pPr>
      <w:r>
        <w:rPr/>
      </w:r>
    </w:p>
    <w:p>
      <w:pPr>
        <w:pStyle w:val="Normal"/>
        <w:numPr>
          <w:ilvl w:val="0"/>
          <w:numId w:val="2"/>
        </w:numPr>
        <w:ind w:hanging="0" w:start="720" w:end="0"/>
        <w:rPr/>
      </w:pPr>
      <w:r>
        <w:rPr/>
        <w:t>how to best deal with energy limited resources and with intermittent resources;</w:t>
      </w:r>
    </w:p>
    <w:p>
      <w:pPr>
        <w:pStyle w:val="Normal"/>
        <w:rPr/>
      </w:pPr>
      <w:r>
        <w:rPr/>
      </w:r>
    </w:p>
    <w:p>
      <w:pPr>
        <w:pStyle w:val="Normal"/>
        <w:numPr>
          <w:ilvl w:val="0"/>
          <w:numId w:val="2"/>
        </w:numPr>
        <w:ind w:hanging="0" w:start="720" w:end="0"/>
        <w:rPr/>
      </w:pPr>
      <w:r>
        <w:rPr/>
        <w:t>ability/willingness of generating units to exceed rated output;</w:t>
      </w:r>
    </w:p>
    <w:p>
      <w:pPr>
        <w:pStyle w:val="Normal"/>
        <w:rPr/>
      </w:pPr>
      <w:r>
        <w:rPr/>
      </w:r>
    </w:p>
    <w:p>
      <w:pPr>
        <w:pStyle w:val="Normal"/>
        <w:numPr>
          <w:ilvl w:val="0"/>
          <w:numId w:val="2"/>
        </w:numPr>
        <w:ind w:hanging="0" w:start="720" w:end="0"/>
        <w:rPr/>
      </w:pPr>
      <w:r>
        <w:rPr/>
        <w:t>length of the OPP;</w:t>
      </w:r>
    </w:p>
    <w:p>
      <w:pPr>
        <w:pStyle w:val="Normal"/>
        <w:rPr/>
      </w:pPr>
      <w:r>
        <w:rPr/>
      </w:r>
    </w:p>
    <w:p>
      <w:pPr>
        <w:pStyle w:val="Normal"/>
        <w:numPr>
          <w:ilvl w:val="0"/>
          <w:numId w:val="2"/>
        </w:numPr>
        <w:ind w:hanging="0" w:start="720" w:end="0"/>
        <w:rPr/>
      </w:pPr>
      <w:r>
        <w:rPr/>
        <w:t>mid-OPP start-up of new generators, especially for a 6 month OPP;</w:t>
      </w:r>
    </w:p>
    <w:p>
      <w:pPr>
        <w:pStyle w:val="Normal"/>
        <w:rPr/>
      </w:pPr>
      <w:r>
        <w:rPr/>
      </w:r>
    </w:p>
    <w:p>
      <w:pPr>
        <w:pStyle w:val="Normal"/>
        <w:numPr>
          <w:ilvl w:val="0"/>
          <w:numId w:val="2"/>
        </w:numPr>
        <w:tabs>
          <w:tab w:val="clear" w:pos="720"/>
          <w:tab w:val="left" w:pos="1440" w:leader="none"/>
        </w:tabs>
        <w:ind w:hanging="720" w:start="1440" w:end="0"/>
        <w:rPr/>
      </w:pPr>
      <w:r>
        <w:rPr/>
        <w:t>eligibility/qualification of out-of-state providers and dealing with bottled resources within NYS;</w:t>
      </w:r>
    </w:p>
    <w:p>
      <w:pPr>
        <w:pStyle w:val="Normal"/>
        <w:rPr/>
      </w:pPr>
      <w:r>
        <w:rPr/>
      </w:r>
    </w:p>
    <w:p>
      <w:pPr>
        <w:pStyle w:val="Normal"/>
        <w:numPr>
          <w:ilvl w:val="0"/>
          <w:numId w:val="2"/>
        </w:numPr>
        <w:tabs>
          <w:tab w:val="clear" w:pos="720"/>
        </w:tabs>
        <w:ind w:hanging="720" w:start="1440" w:end="0"/>
        <w:rPr/>
      </w:pPr>
      <w:r>
        <w:rPr/>
        <w:t xml:space="preserve">setting the ICAP requirement (load level) for LSEs (e.g. historic vs. projected vs. true-up to actual load); and </w:t>
      </w:r>
    </w:p>
    <w:p>
      <w:pPr>
        <w:pStyle w:val="Normal"/>
        <w:rPr/>
      </w:pPr>
      <w:r>
        <w:rPr/>
      </w:r>
    </w:p>
    <w:p>
      <w:pPr>
        <w:pStyle w:val="Normal"/>
        <w:numPr>
          <w:ilvl w:val="0"/>
          <w:numId w:val="2"/>
        </w:numPr>
        <w:ind w:hanging="0" w:start="720" w:end="0"/>
        <w:rPr/>
      </w:pPr>
      <w:r>
        <w:rPr/>
        <w:t>use of demand response (e.g. SCR) as ICAP.</w:t>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rPr/>
      </w:pPr>
      <w:r>
        <w:rPr/>
        <w:t>Howard A. Tarler,  Chief, Bulk Transmission Section</w:t>
        <w:tab/>
        <w:tab/>
        <w:tab/>
        <w:t>May 23, 2001</w:t>
      </w:r>
    </w:p>
    <w:p>
      <w:pPr>
        <w:pStyle w:val="Normal"/>
        <w:rPr/>
      </w:pPr>
      <w:r>
        <w:rPr/>
        <w:t>Joel Brainard,  Chief of Regulatory Economics</w:t>
      </w:r>
    </w:p>
    <w:p>
      <w:pPr>
        <w:pStyle w:val="Normal"/>
        <w:rPr/>
      </w:pPr>
      <w:r>
        <w:rPr/>
        <w:t>Steven F. Keller,  Principal Valuation Engineer</w:t>
      </w:r>
    </w:p>
    <w:p>
      <w:pPr>
        <w:pStyle w:val="Normal"/>
        <w:ind w:firstLine="720" w:start="1440" w:end="0"/>
        <w:rPr/>
      </w:pPr>
      <w:r>
        <w:rPr/>
        <w:t xml:space="preserve"> </w:t>
      </w:r>
      <w:r>
        <w:rPr/>
        <w:tab/>
      </w:r>
    </w:p>
    <w:sectPr>
      <w:type w:val="continuous"/>
      <w:pgSz w:w="12240" w:h="15840"/>
      <w:pgMar w:left="1440" w:right="1440" w:gutter="0" w:header="0" w:top="72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i/>
      <w:sz w:val="16"/>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sz w:val="16"/>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NormalDouble">
    <w:name w:val="Normal Double"/>
    <w:basedOn w:val="Normal"/>
    <w:qFormat/>
    <w:pPr>
      <w:spacing w:lineRule="auto" w:line="480"/>
    </w:pPr>
    <w:rPr/>
  </w:style>
  <w:style w:type="paragraph" w:styleId="SONYHeading">
    <w:name w:val="SONY Heading"/>
    <w:basedOn w:val="Normal"/>
    <w:qFormat/>
    <w:pPr>
      <w:jc w:val="center"/>
    </w:pPr>
    <w:rPr>
      <w:sz w:val="38"/>
    </w:rPr>
  </w:style>
  <w:style w:type="paragraph" w:styleId="AddressHeading">
    <w:name w:val="Address Heading"/>
    <w:basedOn w:val="Normal"/>
    <w:next w:val="Normal"/>
    <w:qFormat/>
    <w:pPr>
      <w:jc w:val="center"/>
    </w:pPr>
    <w:rPr>
      <w:b/>
    </w:rPr>
  </w:style>
  <w:style w:type="paragraph" w:styleId="InternetHeading">
    <w:name w:val="Internet Heading"/>
    <w:basedOn w:val="Normal"/>
    <w:next w:val="Normal"/>
    <w:qFormat/>
    <w:pPr>
      <w:jc w:val="center"/>
    </w:pPr>
    <w:rPr>
      <w:b/>
      <w:sz w:val="16"/>
    </w:rPr>
  </w:style>
  <w:style w:type="paragraph" w:styleId="NamesHeading">
    <w:name w:val="Names Heading"/>
    <w:basedOn w:val="Normal"/>
    <w:next w:val="Normal"/>
    <w:qFormat/>
    <w:pPr/>
    <w:rPr>
      <w:b/>
      <w:sz w:val="16"/>
    </w:rPr>
  </w:style>
  <w:style w:type="paragraph" w:styleId="TitleHeading">
    <w:name w:val="Title Heading"/>
    <w:basedOn w:val="Normal"/>
    <w:next w:val="Normal"/>
    <w:qFormat/>
    <w:pPr/>
    <w:rPr>
      <w:i/>
      <w:sz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 albany.dot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2001-05-22T14:37:00Z</dcterms:created>
  <dc:creator>Staff</dc:creator>
  <dc:description/>
  <dc:language>en-CA</dc:language>
  <cp:lastModifiedBy>NYS</cp:lastModifiedBy>
  <cp:lastPrinted>2001-05-23T09:40:00Z</cp:lastPrinted>
  <dcterms:modified xsi:type="dcterms:W3CDTF">2001-05-23T11:14:00Z</dcterms:modified>
  <cp:revision>9</cp:revision>
  <dc:subject/>
  <dc:title>STATE OF NEW YORK   DEPARTMENT OF PUBLIC SERVICE</dc:title>
</cp:coreProperties>
</file>