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Century Gothic" w:hAnsi="Century Gothic" w:cs="Century Gothic"/>
          <w:b/>
          <w:bCs/>
          <w:sz w:val="18"/>
        </w:rPr>
      </w:pPr>
      <w:r>
        <w:rPr>
          <w:rFonts w:cs="Century Gothic" w:ascii="Century Gothic" w:hAnsi="Century Gothic"/>
          <w:b/>
          <w:bCs/>
          <w:sz w:val="18"/>
        </w:rPr>
        <w:t>US HeatingOil2 Fin Spread</w:t>
        <w:tab/>
        <w:tab/>
        <w:t>Nymex HO/GC HO</w:t>
        <w:tab/>
        <w:tab/>
        <w:t>c/Gl-b</w:t>
      </w:r>
    </w:p>
    <w:p>
      <w:pPr>
        <w:pStyle w:val="BodyText"/>
        <w:rPr>
          <w:rFonts w:ascii="Century Gothic" w:hAnsi="Century Gothic" w:cs="Century Gothic"/>
          <w:b/>
          <w:bCs/>
          <w:sz w:val="18"/>
        </w:rPr>
      </w:pPr>
      <w:r>
        <w:rPr>
          <w:rFonts w:cs="Century Gothic" w:ascii="Century Gothic" w:hAnsi="Century Gothic"/>
          <w:b/>
          <w:bCs/>
          <w:sz w:val="18"/>
        </w:rPr>
      </w:r>
    </w:p>
    <w:p>
      <w:pPr>
        <w:pStyle w:val="BodyText"/>
        <w:rPr>
          <w:rFonts w:ascii="Century Gothic" w:hAnsi="Century Gothic" w:cs="Century Gothic"/>
          <w:sz w:val="18"/>
        </w:rPr>
      </w:pPr>
      <w:r>
        <w:rPr>
          <w:rFonts w:cs="Century Gothic" w:ascii="Century Gothic" w:hAnsi="Century Gothic"/>
          <w:sz w:val="18"/>
        </w:rPr>
        <w:t>A US Heating Oil Swap financial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per Determination Period shall be the volume submitted by Counterparty via EnronOnline.  The Payment Date(s) will be 5 business days after the Floating Price is determinable. The Floating Price shall be the Index for the relevant Determination Period.</w:t>
      </w:r>
    </w:p>
    <w:p>
      <w:pPr>
        <w:pStyle w:val="Normal"/>
        <w:rPr>
          <w:rFonts w:ascii="Century Gothic" w:hAnsi="Century Gothic" w:cs="Century Gothic"/>
          <w:sz w:val="18"/>
        </w:rPr>
      </w:pPr>
      <w:r>
        <w:rPr>
          <w:rFonts w:cs="Century Gothic" w:ascii="Century Gothic" w:hAnsi="Century Gothic"/>
          <w:sz w:val="18"/>
        </w:rPr>
        <w:t>The term of the Q1 02 Transaction shall be from the Effective Date (or start date) to the Termination Date (or end date). The Effective Date (or start date) is 01 January 2002. The Termination Date (or end date) is 31 March 2002.</w:t>
      </w:r>
    </w:p>
    <w:p>
      <w:pPr>
        <w:pStyle w:val="BodyText"/>
        <w:rPr>
          <w:rFonts w:ascii="Century Gothic" w:hAnsi="Century Gothic" w:cs="Century Gothic"/>
          <w:sz w:val="18"/>
        </w:rPr>
      </w:pPr>
      <w:r>
        <w:rPr>
          <w:rFonts w:cs="Century Gothic" w:ascii="Century Gothic" w:hAnsi="Century Gothic"/>
          <w:sz w:val="18"/>
        </w:rPr>
        <w:t>The Index for a Determination Period shall be the difference obtained by subtracting (i) the arithmetic average of the daily settlement prices for the prompt month NYMEX No. 2 Heating Oil Futures Contract for each Pricing Date in such Determination Period from (ii) the arithmetic average of the means of the daily high and low quotations for High Sulfur Heating Oil in the table entitled "Product Price Assessments: U.S. Gulf Coast: c/Gal: No.2" and opposite the caption "Pipeline" for the issue of Platt's Oilgram Price Report published for each Pricing Date in such Determination Period. "Pricing Date" means, a day on which Platt's Oilgram Report is published and which is also a NYMEX trading day.</w:t>
      </w:r>
    </w:p>
    <w:p>
      <w:pPr>
        <w:pStyle w:val="Normal"/>
        <w:rPr>
          <w:rFonts w:ascii="Century Gothic" w:hAnsi="Century Gothic" w:cs="Century Gothic"/>
          <w:sz w:val="18"/>
        </w:rPr>
      </w:pPr>
      <w:r>
        <w:rPr>
          <w:rFonts w:cs="Century Gothic" w:ascii="Century Gothic" w:hAnsi="Century Gothic"/>
          <w:sz w:val="18"/>
        </w:rPr>
        <w:t>The price is quoted in cents (US) per unit of measure which will be the Contractual Currency.</w:t>
      </w:r>
    </w:p>
    <w:p>
      <w:pPr>
        <w:pStyle w:val="Normal"/>
        <w:rPr>
          <w:rFonts w:ascii="Century Gothic" w:hAnsi="Century Gothic" w:cs="Century Gothic"/>
          <w:sz w:val="18"/>
        </w:rPr>
      </w:pPr>
      <w:r>
        <w:rPr>
          <w:rFonts w:cs="Century Gothic" w:ascii="Century Gothic" w:hAnsi="Century Gothic"/>
          <w:sz w:val="18"/>
        </w:rPr>
        <w:t>The unit of measure against which the price is quoted shall be gallons and the volume shown shall be in total number of Barrels (42 US Gallons) per month.</w:t>
      </w:r>
    </w:p>
    <w:p>
      <w:pPr>
        <w:pStyle w:val="Normal"/>
        <w:rPr>
          <w:rFonts w:ascii="Century Gothic" w:hAnsi="Century Gothic" w:cs="Century Gothic"/>
          <w:sz w:val="18"/>
        </w:rPr>
      </w:pPr>
      <w:r>
        <w:rPr>
          <w:rFonts w:cs="Century Gothic" w:ascii="Century Gothic" w:hAnsi="Century Gothic"/>
          <w:sz w:val="18"/>
        </w:rPr>
      </w:r>
    </w:p>
    <w:p>
      <w:pPr>
        <w:pStyle w:val="Normal"/>
        <w:rPr>
          <w:rFonts w:ascii="Century Gothic" w:hAnsi="Century Gothic" w:cs="Century Gothic"/>
          <w:sz w:val="18"/>
        </w:rPr>
      </w:pPr>
      <w:r>
        <w:rPr>
          <w:rFonts w:cs="Century Gothic" w:ascii="Century Gothic" w:hAnsi="Century Gothic"/>
          <w:sz w:val="18"/>
        </w:rPr>
      </w:r>
    </w:p>
    <w:p>
      <w:pPr>
        <w:pStyle w:val="Heading1"/>
        <w:ind w:hanging="0" w:start="0"/>
        <w:rPr>
          <w:rFonts w:ascii="Century Gothic" w:hAnsi="Century Gothic" w:cs="Century Gothic"/>
          <w:sz w:val="18"/>
        </w:rPr>
      </w:pPr>
      <w:r>
        <w:rPr>
          <w:rFonts w:cs="Century Gothic" w:ascii="Century Gothic" w:hAnsi="Century Gothic"/>
          <w:sz w:val="18"/>
        </w:rPr>
        <w:t>US UNL Gasoline Fin Spread</w:t>
        <w:tab/>
        <w:tab/>
        <w:t>Nymex UNL/GC UNL</w:t>
        <w:tab/>
        <w:tab/>
        <w:t>c/Gl-b</w:t>
      </w:r>
    </w:p>
    <w:p>
      <w:pPr>
        <w:pStyle w:val="Normal"/>
        <w:rPr>
          <w:rFonts w:ascii="Century Gothic" w:hAnsi="Century Gothic" w:cs="Century Gothic"/>
          <w:sz w:val="18"/>
        </w:rPr>
      </w:pPr>
      <w:r>
        <w:rPr>
          <w:rFonts w:cs="Century Gothic" w:ascii="Century Gothic" w:hAnsi="Century Gothic"/>
          <w:sz w:val="18"/>
        </w:rPr>
      </w:r>
    </w:p>
    <w:p>
      <w:pPr>
        <w:pStyle w:val="BodyText2"/>
        <w:rPr/>
      </w:pPr>
      <w:r>
        <w:rPr/>
        <w:t>A US Unleaded Gasoline financial Swap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per Determination Period shall be the volume submitted by Counterparty via EnronOnline.  The Payment Date(s) will be 5 business days after the Floating Price is determinable. The Floating Price shall be the Index for the relevant Determination Period.</w:t>
      </w:r>
    </w:p>
    <w:p>
      <w:pPr>
        <w:pStyle w:val="Normal"/>
        <w:rPr>
          <w:rFonts w:ascii="Century Gothic" w:hAnsi="Century Gothic" w:cs="Century Gothic"/>
          <w:sz w:val="18"/>
        </w:rPr>
      </w:pPr>
      <w:r>
        <w:rPr>
          <w:rFonts w:cs="Century Gothic" w:ascii="Century Gothic" w:hAnsi="Century Gothic"/>
          <w:sz w:val="18"/>
        </w:rPr>
        <w:t>The term of the Q3 01 Transaction shall be from the Effective Date (or start date) to the Termination Date (or end date). The Effective Date (or start date) is 01 July 2001. The Termination Date (or end date) is 30 September 2001.</w:t>
      </w:r>
    </w:p>
    <w:p>
      <w:pPr>
        <w:pStyle w:val="Normal"/>
        <w:rPr>
          <w:rFonts w:ascii="Century Gothic" w:hAnsi="Century Gothic" w:cs="Century Gothic"/>
          <w:sz w:val="18"/>
        </w:rPr>
      </w:pPr>
      <w:r>
        <w:rPr>
          <w:rFonts w:cs="Century Gothic" w:ascii="Century Gothic" w:hAnsi="Century Gothic"/>
          <w:sz w:val="18"/>
        </w:rPr>
        <w:t>The Index for a Determination Period shall be the difference obtained by subtracting (i) the arithmetic average of the daily settlement prices for the prompt month NYMEX UNL Gasoline Futures Contract for each Pricing Date in such Determination Period from (ii) the arithmetic average of the daily high and low quotations for U.S. Unleaded Gasoline, 87 Octane, Fungible Southern Grade, Non-Oxygenated, Non-Supplemental Posting, located in the table entitled "Product Price Assessments: U.S. Gulf Coast: Pipeline: c/Gal: Unl 87" for the issue of Platt's Oilgram Price Report published for each Pricing Date in such Determination Period. "Pricing Date" means, a day on which Platt's Oilgram Report is published and which is also a NYMEX trading day.</w:t>
      </w:r>
    </w:p>
    <w:p>
      <w:pPr>
        <w:pStyle w:val="Normal"/>
        <w:rPr>
          <w:rFonts w:ascii="Century Gothic" w:hAnsi="Century Gothic" w:cs="Century Gothic"/>
          <w:sz w:val="18"/>
        </w:rPr>
      </w:pPr>
      <w:r>
        <w:rPr>
          <w:rFonts w:cs="Century Gothic" w:ascii="Century Gothic" w:hAnsi="Century Gothic"/>
          <w:sz w:val="18"/>
        </w:rPr>
        <w:t>The price is quoted in cents (US) per unit of measure which will be the Contractual Currency.</w:t>
      </w:r>
    </w:p>
    <w:p>
      <w:pPr>
        <w:pStyle w:val="Normal"/>
        <w:rPr>
          <w:rFonts w:ascii="Century Gothic" w:hAnsi="Century Gothic" w:cs="Century Gothic"/>
          <w:sz w:val="18"/>
        </w:rPr>
      </w:pPr>
      <w:r>
        <w:rPr>
          <w:rFonts w:cs="Century Gothic" w:ascii="Century Gothic" w:hAnsi="Century Gothic"/>
          <w:sz w:val="18"/>
        </w:rPr>
        <w:t>The unit of measure against which the price is quoted shall be gallons and the volume shown shall be in total number of Barrels (42 US Gallons) per month.</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Gothic">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Century Gothic" w:hAnsi="Century Gothic" w:cs="Century Gothic"/>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2001-03-30T16:24:00Z</dcterms:created>
  <dc:creator>kmeredi</dc:creator>
  <dc:description/>
  <dc:language>en-CA</dc:language>
  <cp:lastModifiedBy>kmeredi</cp:lastModifiedBy>
  <dcterms:modified xsi:type="dcterms:W3CDTF">2001-03-30T16:24:00Z</dcterms:modified>
  <cp:revision>2</cp:revision>
  <dc:subject/>
  <dc:title> </dc:title>
</cp:coreProperties>
</file>