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0" w:after="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9">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t>UNITED STATES OF AMERICA</w:t>
      </w:r>
      <w:r>
        <mc:AlternateContent>
          <mc:Choice Requires="wps">
            <w:drawing>
              <wp:anchor behindDoc="0" distT="0" distB="0" distL="114935" distR="114935" simplePos="0" locked="0" layoutInCell="1" allowOverlap="1" relativeHeight="10">
                <wp:simplePos x="0" y="0"/>
                <wp:positionH relativeFrom="column">
                  <wp:posOffset>5212080</wp:posOffset>
                </wp:positionH>
                <wp:positionV relativeFrom="paragraph">
                  <wp:posOffset>91440</wp:posOffset>
                </wp:positionV>
                <wp:extent cx="1463040" cy="914400"/>
                <wp:effectExtent l="0" t="0" r="0" b="0"/>
                <wp:wrapNone/>
                <wp:docPr id="2" name="Frame1"/>
                <a:graphic xmlns:a="http://schemas.openxmlformats.org/drawingml/2006/main">
                  <a:graphicData uri="http://schemas.microsoft.com/office/word/2010/wordprocessingShape">
                    <wps:wsp>
                      <wps:cNvSpPr txBox="1"/>
                      <wps:spPr>
                        <a:xfrm>
                          <a:off x="0" y="0"/>
                          <a:ext cx="146304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5.2pt;height:72pt;mso-wrap-distance-left:9.05pt;mso-wrap-distance-right:9.05pt;mso-wrap-distance-top:0pt;mso-wrap-distance-bottom:0pt;margin-top:7.2pt;mso-position-vertical-relative:text;margin-left:410.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Center"/>
        <w:spacing w:lineRule="auto" w:line="240" w:before="0" w:after="0"/>
        <w:rPr>
          <w:rFonts w:ascii="Arial" w:hAnsi="Arial" w:cs="Arial"/>
        </w:rPr>
      </w:pPr>
      <w:r>
        <w:rPr>
          <w:rFonts w:cs="Arial" w:ascii="Arial" w:hAnsi="Arial"/>
        </w:rPr>
        <w:t>FEDERAL ENERGY REGULATORY COMMISSION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______________________________________                                                          </w:t>
      </w:r>
    </w:p>
    <w:p>
      <w:pPr>
        <w:pStyle w:val="Normal"/>
        <w:rPr>
          <w:rFonts w:ascii="Arial" w:hAnsi="Arial" w:cs="Arial"/>
          <w:sz w:val="24"/>
        </w:rPr>
      </w:pPr>
      <w:r>
        <w:rPr>
          <w:rFonts w:cs="Arial" w:ascii="Arial" w:hAnsi="Arial"/>
        </w:rPr>
        <w:tab/>
        <w:tab/>
        <w:tab/>
        <w:tab/>
        <w:tab/>
        <w:tab/>
        <w:t>)</w:t>
      </w:r>
    </w:p>
    <w:p>
      <w:pPr>
        <w:pStyle w:val="Normal"/>
        <w:rPr>
          <w:rFonts w:ascii="Arial" w:hAnsi="Arial" w:cs="Arial"/>
          <w:sz w:val="24"/>
        </w:rPr>
      </w:pPr>
      <w:r>
        <w:rPr>
          <w:rFonts w:cs="Arial" w:ascii="Arial" w:hAnsi="Arial"/>
          <w:sz w:val="24"/>
        </w:rPr>
        <w:t>New York Independent System</w:t>
        <w:tab/>
        <w:tab/>
        <w:t>)</w:t>
        <w:tab/>
        <w:t>Docket Nos. ER01-1489-000,</w:t>
      </w:r>
    </w:p>
    <w:p>
      <w:pPr>
        <w:pStyle w:val="Normal"/>
        <w:rPr>
          <w:rFonts w:ascii="Arial" w:hAnsi="Arial" w:cs="Arial"/>
          <w:sz w:val="24"/>
        </w:rPr>
      </w:pPr>
      <w:r>
        <w:rPr>
          <w:rFonts w:eastAsia="Arial" w:cs="Arial" w:ascii="Arial" w:hAnsi="Arial"/>
          <w:sz w:val="24"/>
        </w:rPr>
        <w:t xml:space="preserve">  </w:t>
      </w:r>
      <w:r>
        <w:rPr>
          <w:rFonts w:cs="Arial" w:ascii="Arial" w:hAnsi="Arial"/>
          <w:sz w:val="24"/>
        </w:rPr>
        <w:t>Operator, Inc.</w:t>
        <w:tab/>
        <w:tab/>
        <w:tab/>
        <w:tab/>
        <w:t>)</w:t>
        <w:tab/>
        <w:t xml:space="preserve">ER01-181-001, ER01-181-000, </w:t>
      </w:r>
    </w:p>
    <w:p>
      <w:pPr>
        <w:pStyle w:val="Normal"/>
        <w:rPr>
          <w:rFonts w:ascii="Arial" w:hAnsi="Arial" w:cs="Arial"/>
          <w:sz w:val="24"/>
        </w:rPr>
      </w:pPr>
      <w:r>
        <w:rPr>
          <w:rFonts w:cs="Arial" w:ascii="Arial" w:hAnsi="Arial"/>
          <w:sz w:val="24"/>
        </w:rPr>
        <w:tab/>
        <w:tab/>
        <w:tab/>
        <w:tab/>
        <w:tab/>
        <w:tab/>
        <w:t>)</w:t>
        <w:tab/>
        <w:t>ER00-181-001, and</w:t>
      </w:r>
    </w:p>
    <w:p>
      <w:pPr>
        <w:pStyle w:val="Normal"/>
        <w:ind w:firstLine="720" w:start="3600" w:end="0"/>
        <w:rPr>
          <w:rFonts w:ascii="Arial" w:hAnsi="Arial" w:cs="Arial"/>
          <w:sz w:val="24"/>
        </w:rPr>
      </w:pPr>
      <w:r>
        <w:rPr>
          <w:rFonts w:cs="Arial" w:ascii="Arial" w:hAnsi="Arial"/>
          <w:sz w:val="24"/>
        </w:rPr>
        <w:t>)</w:t>
        <w:tab/>
        <w:t>ER01-1517-000, not consolidated.</w:t>
      </w:r>
    </w:p>
    <w:p>
      <w:pPr>
        <w:pStyle w:val="Normal"/>
        <w:rPr>
          <w:rFonts w:ascii="Arial" w:hAnsi="Arial" w:cs="Arial"/>
          <w:sz w:val="24"/>
        </w:rPr>
      </w:pPr>
      <w:r>
        <w:rPr>
          <w:rFonts w:cs="Arial" w:ascii="Arial" w:hAnsi="Arial"/>
          <w:sz w:val="24"/>
        </w:rPr>
        <w:t>________________________________</w:t>
        <w:tab/>
        <w:t>)</w:t>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indent"/>
        <w:spacing w:lineRule="auto" w:line="240"/>
        <w:ind w:hanging="0" w:end="0"/>
        <w:jc w:val="center"/>
        <w:rPr>
          <w:rFonts w:ascii="Arial" w:hAnsi="Arial" w:cs="Arial"/>
          <w:b/>
        </w:rPr>
      </w:pPr>
      <w:r>
        <w:rPr>
          <w:rFonts w:cs="Arial" w:ascii="Arial" w:hAnsi="Arial"/>
          <w:b/>
        </w:rPr>
        <w:t>COMMENTS OF THE</w:t>
      </w:r>
    </w:p>
    <w:p>
      <w:pPr>
        <w:pStyle w:val="bodytext-indent"/>
        <w:spacing w:lineRule="auto" w:line="240"/>
        <w:ind w:hanging="0" w:end="0"/>
        <w:jc w:val="center"/>
        <w:rPr>
          <w:rFonts w:ascii="Arial" w:hAnsi="Arial" w:cs="Arial"/>
          <w:b/>
        </w:rPr>
      </w:pPr>
      <w:r>
        <w:rPr>
          <w:rFonts w:cs="Arial" w:ascii="Arial" w:hAnsi="Arial"/>
          <w:b/>
        </w:rPr>
        <w:t>ELECTRIC POWER SUPPLY ASSOCIATION</w:t>
      </w:r>
    </w:p>
    <w:p>
      <w:pPr>
        <w:pStyle w:val="bodytext-indent"/>
        <w:spacing w:lineRule="auto" w:line="240"/>
        <w:ind w:hanging="0" w:end="0"/>
        <w:jc w:val="center"/>
        <w:rPr>
          <w:rFonts w:ascii="Arial" w:hAnsi="Arial" w:cs="Arial"/>
          <w:b/>
        </w:rPr>
      </w:pPr>
      <w:r>
        <w:rPr>
          <w:rFonts w:cs="Arial" w:ascii="Arial" w:hAnsi="Arial"/>
          <w:b/>
        </w:rPr>
      </w:r>
    </w:p>
    <w:p>
      <w:pPr>
        <w:pStyle w:val="BodyTextStyle"/>
        <w:spacing w:lineRule="auto" w:line="360"/>
        <w:ind w:firstLine="720" w:end="0"/>
        <w:rPr/>
      </w:pPr>
      <w:r>
        <w:rPr>
          <w:rFonts w:cs="Arial" w:ascii="Arial" w:hAnsi="Arial"/>
          <w:lang w:eastAsia="en-US"/>
        </w:rPr>
        <w:t>The Electric Power Supply Association</w:t>
      </w:r>
      <w:r>
        <w:rPr>
          <w:rStyle w:val="FootnoteCharacters"/>
          <w:rStyle w:val="FootnoteReference"/>
          <w:rFonts w:cs="Arial" w:ascii="Arial" w:hAnsi="Arial"/>
          <w:lang w:eastAsia="en-US"/>
        </w:rPr>
        <w:footnoteReference w:id="2"/>
      </w:r>
      <w:r>
        <w:rPr>
          <w:rFonts w:cs="Arial" w:ascii="Arial" w:hAnsi="Arial"/>
          <w:lang w:eastAsia="en-US"/>
        </w:rPr>
        <w:t xml:space="preserve"> herein files its comments on the </w:t>
      </w:r>
    </w:p>
    <w:p>
      <w:pPr>
        <w:pStyle w:val="BodyText2"/>
        <w:tabs>
          <w:tab w:val="clear" w:pos="720"/>
        </w:tabs>
        <w:spacing w:lineRule="auto" w:line="360"/>
        <w:rPr/>
      </w:pPr>
      <w:r>
        <w:rPr/>
        <w:t>New York Independent System Operator, Inc.’s (NYISO) request for an extension of its Temporary Extraordinary Procedures for Correcting Market Design Flaws and Addressing Transitional Abnormalities (Docket No. ER01-1489-000, comments due March 30, 2001); the NYISO’s Notice of Withdrawal of its October 20, 2000 filing in ER01-181-000, and requested withdrawal of all filings in ER01-181-001 (comments due March 30, 2001); and the NYISO’s proposed amendment to the Market Administration and Control Area Services Tariff that would extend the duration of bid caps in certain NYISO markets until October 31, 2002 (Docket No. ER01-1517-000, comments due April 2, 2001).</w:t>
      </w:r>
    </w:p>
    <w:p>
      <w:pPr>
        <w:pStyle w:val="BodyText2"/>
        <w:tabs>
          <w:tab w:val="clear" w:pos="720"/>
        </w:tabs>
        <w:spacing w:lineRule="auto" w:line="360"/>
        <w:rPr/>
      </w:pPr>
      <w:r>
        <w:rPr/>
      </w:r>
    </w:p>
    <w:p>
      <w:pPr>
        <w:pStyle w:val="BodyText2"/>
        <w:tabs>
          <w:tab w:val="clear" w:pos="720"/>
        </w:tabs>
        <w:spacing w:lineRule="auto" w:line="360"/>
        <w:rPr/>
      </w:pPr>
      <w:r>
        <w:rPr/>
      </w:r>
    </w:p>
    <w:p>
      <w:pPr>
        <w:pStyle w:val="BodyText2"/>
        <w:tabs>
          <w:tab w:val="clear" w:pos="720"/>
        </w:tabs>
        <w:spacing w:lineRule="auto" w:line="360"/>
        <w:rPr/>
      </w:pPr>
      <w:r>
        <w:rPr/>
      </w:r>
    </w:p>
    <w:p>
      <w:pPr>
        <w:pStyle w:val="Heading1"/>
        <w:tabs>
          <w:tab w:val="clear" w:pos="720"/>
        </w:tabs>
        <w:spacing w:lineRule="auto" w:line="240"/>
        <w:ind w:hanging="720" w:start="720" w:end="0"/>
        <w:rPr>
          <w:rFonts w:ascii="Arial" w:hAnsi="Arial" w:cs="Arial"/>
        </w:rPr>
      </w:pPr>
      <w:r>
        <w:rPr>
          <w:rFonts w:cs="Arial" w:ascii="Arial" w:hAnsi="Arial"/>
        </w:rPr>
        <w:t>Approving the NYISO’s TEP and Bid Cap Extensions Will Not Mitigate New York Market Imperfections</w:t>
      </w:r>
    </w:p>
    <w:p>
      <w:pPr>
        <w:pStyle w:val="BodyTextStyle"/>
        <w:ind w:firstLine="720" w:end="0"/>
        <w:rPr/>
      </w:pPr>
      <w:r>
        <w:rPr>
          <w:rFonts w:cs="Arial" w:ascii="Arial" w:hAnsi="Arial"/>
        </w:rPr>
        <w:t>In separate filings, the NYISO requested again to extend its Temporary Extraordinary Procedures (TEP),</w:t>
      </w:r>
      <w:r>
        <w:rPr>
          <w:rStyle w:val="FootnoteCharacters"/>
          <w:rFonts w:cs="Arial" w:ascii="Arial" w:hAnsi="Arial"/>
          <w:b/>
        </w:rPr>
        <w:t xml:space="preserve"> </w:t>
      </w:r>
      <w:r>
        <w:rPr>
          <w:rStyle w:val="FootnoteCharacters"/>
          <w:rStyle w:val="FootnoteReference"/>
          <w:rFonts w:cs="Arial" w:ascii="Arial" w:hAnsi="Arial"/>
          <w:b/>
        </w:rPr>
        <w:footnoteReference w:id="3"/>
      </w:r>
      <w:r>
        <w:rPr>
          <w:rFonts w:cs="Arial" w:ascii="Arial" w:hAnsi="Arial"/>
        </w:rPr>
        <w:t xml:space="preserve"> in addition to the </w:t>
      </w:r>
      <w:r>
        <w:rPr>
          <w:rFonts w:cs="Arial" w:ascii="Arial" w:hAnsi="Arial"/>
          <w:lang w:eastAsia="en-US"/>
        </w:rPr>
        <w:t>current bid caps in certain NYISO markets</w:t>
      </w:r>
      <w:r>
        <w:rPr>
          <w:rFonts w:cs="Arial" w:ascii="Arial" w:hAnsi="Arial"/>
        </w:rPr>
        <w:t>.  EPSA strongly urges the Commission to reject these additional 18-month requests.  The extensions would, in fact, delay the development of robust competitive markets and continue to allow the NYISO and other market participants to impose adverse corrections on the developing market.  Moreover, such an approval would contribute to the Commission’s mixed signals that are being sent to the consumers of New York.</w:t>
      </w:r>
    </w:p>
    <w:p>
      <w:pPr>
        <w:pStyle w:val="BodyTextStyle"/>
        <w:ind w:firstLine="720" w:end="0"/>
        <w:rPr/>
      </w:pPr>
      <w:r>
        <w:rPr>
          <w:rFonts w:cs="Arial" w:ascii="Arial" w:hAnsi="Arial"/>
        </w:rPr>
        <w:t>EPSA supports Chairman Hébert’s dissent to the Commission’s November 21, 2000 Order extending the TEP to April 31, 2001,</w:t>
      </w:r>
      <w:r>
        <w:rPr>
          <w:rStyle w:val="FootnoteCharacters"/>
          <w:rStyle w:val="FootnoteReference"/>
          <w:rFonts w:cs="Arial" w:ascii="Arial" w:hAnsi="Arial"/>
          <w:b/>
        </w:rPr>
        <w:footnoteReference w:id="4"/>
      </w:r>
      <w:r>
        <w:rPr>
          <w:rFonts w:cs="Arial" w:ascii="Arial" w:hAnsi="Arial"/>
        </w:rPr>
        <w:t xml:space="preserve"> in which he noted that such retroactive price changes indeed create market uncertainty, that in turn forces suppliers from the market – an action that ultimately undermines competition and harms consumers.  In a similar vein, Commissioner Massey has expressed his awareness “that any sort of cap or intervention risks a watering down of the price signals we need for bringing about new supply and for hedging.”</w:t>
      </w:r>
      <w:r>
        <w:rPr>
          <w:rStyle w:val="FootnoteCharacters"/>
          <w:rStyle w:val="FootnoteReference"/>
          <w:rFonts w:cs="Arial" w:ascii="Arial" w:hAnsi="Arial"/>
          <w:b/>
        </w:rPr>
        <w:footnoteReference w:id="5"/>
      </w:r>
      <w:r>
        <w:rPr>
          <w:rFonts w:cs="Arial" w:ascii="Arial" w:hAnsi="Arial"/>
        </w:rPr>
        <w:t xml:space="preserve">  The Commission should therefore not perpetuate the TEPs, bid caps, or further encourage adverse price corrections.</w:t>
      </w:r>
    </w:p>
    <w:p>
      <w:pPr>
        <w:pStyle w:val="BodyTextStyle"/>
        <w:ind w:firstLine="720" w:end="0"/>
        <w:rPr/>
      </w:pPr>
      <w:r>
        <w:rPr>
          <w:rFonts w:cs="Arial" w:ascii="Arial" w:hAnsi="Arial"/>
        </w:rPr>
        <w:t>While such measures may provide short-term comfort, market interventions such as bid caps have profoundly more serious consequences.  As EPSA has said in previous filings, the use of price caps or bid caps may adversely affect the market by limiting market entry, slowing the development of risk mitigation tools, and undermining demand-side response.  These are not trivial considerations; each is critical to the successful development of competitive markets.  At a time when capital is needed to attract new generation and to expand and improve the electric system infrastructure, the NYISO’s proposed actions would create uncertainty that will discourage and delay this much-needed investment.  The NYISO’s independent market advisor has also reported that the New York markets employ “the most theoretically efficient market design, and are indeed working.”</w:t>
      </w:r>
      <w:r>
        <w:rPr>
          <w:rStyle w:val="FootnoteCharacters"/>
          <w:rStyle w:val="FootnoteReference"/>
          <w:rFonts w:cs="Arial" w:ascii="Arial" w:hAnsi="Arial"/>
        </w:rPr>
        <w:footnoteReference w:id="6"/>
      </w:r>
      <w:r>
        <w:rPr>
          <w:rFonts w:cs="Arial" w:ascii="Arial" w:hAnsi="Arial"/>
        </w:rPr>
        <w:t xml:space="preserve">  While endorsing much of the report, EPSA remains concerned that New York’s markets are not working as well as possible.  The lack of financial trading, needed to ensure liquidity, as well as ongoing software problems, continue to limit the benefits a more competitive market could produce.  New York consumers would be better served if the Commission would allow market forces to work freely.</w:t>
      </w:r>
    </w:p>
    <w:p>
      <w:pPr>
        <w:pStyle w:val="Heading1"/>
        <w:tabs>
          <w:tab w:val="clear" w:pos="720"/>
        </w:tabs>
        <w:spacing w:lineRule="auto" w:line="240"/>
        <w:ind w:hanging="720" w:start="720" w:end="0"/>
        <w:rPr>
          <w:rFonts w:ascii="Arial" w:hAnsi="Arial" w:cs="Arial"/>
        </w:rPr>
      </w:pPr>
      <w:r>
        <w:rPr>
          <w:rFonts w:cs="Arial" w:ascii="Arial" w:hAnsi="Arial"/>
        </w:rPr>
        <w:t>NYISO’s Notice of Its Circuit Breaker Mechanism is Inappropriate, and Should be Made in a §205 or §206 Filing</w:t>
      </w:r>
    </w:p>
    <w:p>
      <w:pPr>
        <w:pStyle w:val="BodyTextStyle"/>
        <w:ind w:firstLine="720" w:end="0"/>
        <w:rPr/>
      </w:pPr>
      <w:r>
        <w:rPr>
          <w:rFonts w:cs="Arial" w:ascii="Arial" w:hAnsi="Arial"/>
        </w:rPr>
        <w:t>In its notice to withdrawal</w:t>
      </w:r>
      <w:r>
        <w:rPr>
          <w:rFonts w:cs="Arial" w:ascii="Arial" w:hAnsi="Arial"/>
          <w:lang w:eastAsia="en-US"/>
        </w:rPr>
        <w:t xml:space="preserve"> the October 20, 2000 filing in ER01-181-000 (in which the NYISO</w:t>
      </w:r>
      <w:r>
        <w:rPr>
          <w:rFonts w:cs="Arial" w:ascii="Arial" w:hAnsi="Arial"/>
        </w:rPr>
        <w:t xml:space="preserve"> originally requested that its current bid cap of $1000 be indefinitely extended until such time as the NYISO was able to successfully develop, test, and implement a “superior market protective mechanism”), NYISO introduced a new automated market mitigation mechanism – or a “circuit breaker”—that would automatically default bid mitigation measures under the NYISO’s market mitigation plan.  NYISO maintains that such market mitigation measures were “previously approved by the Commission and are currently in effect,” and therefore dismisses the need to file the circuit breaker with the Commission because it allegedly falls within the NYISO’s existing market mitigation authority.  </w:t>
      </w:r>
    </w:p>
    <w:p>
      <w:pPr>
        <w:pStyle w:val="BodyTextStyle"/>
        <w:ind w:firstLine="720" w:end="0"/>
        <w:rPr>
          <w:rFonts w:ascii="Arial" w:hAnsi="Arial" w:cs="Arial"/>
        </w:rPr>
      </w:pPr>
      <w:r>
        <w:rPr>
          <w:rFonts w:cs="Arial" w:ascii="Arial" w:hAnsi="Arial"/>
        </w:rPr>
        <w:t>EPSA believes the NYISO is misguided.  NYISO should not expect that its simple mention of the circuit breaker in a notice to withdrawal a bid cap proposal would be acceptable to market participants.  Moreover, NYISO should not consider the Commission’s prior approval of the ISO’s Market Mitigation Plan a green light to implement the proposed circuit breaker.  The circuit breaker, to the extent that it is an appropriate market mitigation measure and does not hinder the development of competitive markets in New York, should be filed under §205 or §206 of the Federal Power Act for review and comment.</w:t>
      </w:r>
    </w:p>
    <w:p>
      <w:pPr>
        <w:pStyle w:val="BodyTextStyle"/>
        <w:ind w:firstLine="720" w:end="0"/>
        <w:rPr>
          <w:rFonts w:ascii="Arial" w:hAnsi="Arial" w:cs="Arial"/>
          <w:lang w:eastAsia="en-US"/>
        </w:rPr>
      </w:pPr>
      <w:r>
        <w:rPr>
          <w:rFonts w:cs="Arial" w:ascii="Arial" w:hAnsi="Arial"/>
          <w:lang w:eastAsia="en-US"/>
        </w:rPr>
        <w:t>NYISO intends to implement the circuit breaker before the summer 2001 capability period.  Given this short time period and serious nature of the circuit breaker’s consequences, it is unquestionable that such a mechanism would have significant impacts on the greater regional markets, including PJM, ISONE and IMO control areas. The Commission has long held the goals of achieving regional competitive markets.  EPSA therefore strongly recommends that the Commission require NYISO to take the appropriate steps to consider the viewpoints of all market participants in those control areas – those appropriate steps being an official §205 or §206 filing.  Failure to do so could result in serious unfavorable effects on regional markets, including potential reliability concerns.</w:t>
      </w:r>
    </w:p>
    <w:p>
      <w:pPr>
        <w:pStyle w:val="Heading1"/>
        <w:numPr>
          <w:ilvl w:val="0"/>
          <w:numId w:val="0"/>
        </w:numPr>
        <w:spacing w:lineRule="auto" w:line="360"/>
        <w:ind w:firstLine="720" w:start="0" w:end="0"/>
        <w:rPr>
          <w:rFonts w:ascii="Arial" w:hAnsi="Arial" w:cs="Arial"/>
          <w:b w:val="false"/>
          <w:lang w:eastAsia="en-US"/>
        </w:rPr>
      </w:pPr>
      <w:r>
        <w:rPr>
          <w:rFonts w:cs="Arial" w:ascii="Arial" w:hAnsi="Arial"/>
          <w:b w:val="false"/>
          <w:lang w:eastAsia="en-US"/>
        </w:rPr>
      </w:r>
    </w:p>
    <w:p>
      <w:pPr>
        <w:pStyle w:val="Heading1"/>
        <w:numPr>
          <w:ilvl w:val="0"/>
          <w:numId w:val="0"/>
        </w:numPr>
        <w:spacing w:lineRule="auto" w:line="360"/>
        <w:ind w:firstLine="720" w:start="0" w:end="0"/>
        <w:rPr>
          <w:rFonts w:ascii="Arial" w:hAnsi="Arial" w:cs="Arial"/>
          <w:b w:val="false"/>
          <w:lang w:eastAsia="en-US"/>
        </w:rPr>
      </w:pPr>
      <w:r>
        <w:rPr>
          <w:rFonts w:cs="Arial" w:ascii="Arial" w:hAnsi="Arial"/>
          <w:b w:val="false"/>
          <w:lang w:eastAsia="en-US"/>
        </w:rPr>
      </w:r>
    </w:p>
    <w:p>
      <w:pPr>
        <w:pStyle w:val="Heading1"/>
        <w:numPr>
          <w:ilvl w:val="0"/>
          <w:numId w:val="0"/>
        </w:numPr>
        <w:spacing w:lineRule="auto" w:line="360"/>
        <w:ind w:firstLine="720" w:start="0" w:end="0"/>
        <w:rPr>
          <w:rFonts w:ascii="Arial" w:hAnsi="Arial" w:cs="Arial"/>
          <w:b w:val="false"/>
          <w:lang w:eastAsia="en-US"/>
        </w:rPr>
      </w:pPr>
      <w:r>
        <w:rPr>
          <w:rFonts w:cs="Arial" w:ascii="Arial" w:hAnsi="Arial"/>
          <w:b w:val="false"/>
          <w:lang w:eastAsia="en-US"/>
        </w:rPr>
      </w:r>
    </w:p>
    <w:p>
      <w:pPr>
        <w:pStyle w:val="Heading1"/>
        <w:numPr>
          <w:ilvl w:val="0"/>
          <w:numId w:val="0"/>
        </w:numPr>
        <w:spacing w:lineRule="auto" w:line="360"/>
        <w:ind w:firstLine="720" w:start="0" w:end="0"/>
        <w:rPr>
          <w:rFonts w:ascii="Arial" w:hAnsi="Arial" w:cs="Arial"/>
          <w:b w:val="false"/>
          <w:lang w:eastAsia="en-US"/>
        </w:rPr>
      </w:pPr>
      <w:r>
        <w:rPr>
          <w:rFonts w:cs="Arial" w:ascii="Arial" w:hAnsi="Arial"/>
          <w:b w:val="false"/>
          <w:lang w:eastAsia="en-US"/>
        </w:rPr>
      </w:r>
    </w:p>
    <w:p>
      <w:pPr>
        <w:pStyle w:val="Heading1"/>
        <w:numPr>
          <w:ilvl w:val="0"/>
          <w:numId w:val="0"/>
        </w:numPr>
        <w:spacing w:lineRule="auto" w:line="480"/>
        <w:ind w:hanging="0" w:start="0"/>
        <w:rPr>
          <w:rFonts w:ascii="Arial" w:hAnsi="Arial" w:cs="Arial"/>
        </w:rPr>
      </w:pPr>
      <w:r>
        <w:rPr>
          <w:rFonts w:cs="Arial" w:ascii="Arial" w:hAnsi="Arial"/>
        </w:rPr>
        <w:t>III.</w:t>
        <w:tab/>
        <w:t>CONCLUSION</w:t>
      </w:r>
    </w:p>
    <w:p>
      <w:pPr>
        <w:pStyle w:val="BodyTextStyle"/>
        <w:spacing w:lineRule="auto" w:line="360"/>
        <w:ind w:firstLine="720" w:end="0"/>
        <w:rPr>
          <w:rFonts w:ascii="Arial" w:hAnsi="Arial" w:cs="Arial"/>
          <w:color w:val="000000"/>
        </w:rPr>
      </w:pPr>
      <w:r>
        <w:rPr>
          <w:rFonts w:cs="Arial" w:ascii="Arial" w:hAnsi="Arial"/>
          <w:color w:val="000000"/>
        </w:rPr>
        <w:t xml:space="preserve">For these reasons, EPSA respectfully recommends that the Commission reject NYISO’s TEP and bid cap extension requests, as well as the proposed circuit breaker.  Such mechanisms are counterproductive in establishing competitive and efficient wholesale electric markets, and should not be encouraged.  </w:t>
      </w:r>
    </w:p>
    <w:p>
      <w:pPr>
        <w:pStyle w:val="BodyTextStyle"/>
        <w:spacing w:lineRule="auto" w:line="360"/>
        <w:ind w:firstLine="720" w:end="0"/>
        <w:rPr>
          <w:rFonts w:ascii="Arial" w:hAnsi="Arial" w:cs="Arial"/>
          <w:color w:val="000000"/>
        </w:rPr>
      </w:pPr>
      <w:r>
        <w:rPr>
          <w:rFonts w:cs="Arial" w:ascii="Arial" w:hAnsi="Arial"/>
          <w:color w:val="000000"/>
        </w:rPr>
      </w:r>
    </w:p>
    <w:tbl>
      <w:tblPr>
        <w:tblW w:w="10008" w:type="dxa"/>
        <w:jc w:val="start"/>
        <w:tblInd w:w="0" w:type="dxa"/>
        <w:tblLayout w:type="fixed"/>
        <w:tblCellMar>
          <w:top w:w="0" w:type="dxa"/>
          <w:start w:w="108" w:type="dxa"/>
          <w:bottom w:w="0" w:type="dxa"/>
          <w:end w:w="108" w:type="dxa"/>
        </w:tblCellMar>
      </w:tblPr>
      <w:tblGrid>
        <w:gridCol w:w="4878"/>
        <w:gridCol w:w="5130"/>
      </w:tblGrid>
      <w:tr>
        <w:trPr/>
        <w:tc>
          <w:tcPr>
            <w:tcW w:w="4878" w:type="dxa"/>
            <w:tcBorders/>
          </w:tcPr>
          <w:p>
            <w:pPr>
              <w:pStyle w:val="Normal"/>
              <w:rPr>
                <w:rFonts w:ascii="Arial" w:hAnsi="Arial" w:cs="Arial"/>
                <w:sz w:val="24"/>
              </w:rPr>
            </w:pPr>
            <w:r>
              <w:rPr>
                <w:rFonts w:cs="Arial" w:ascii="Arial" w:hAnsi="Arial"/>
                <w:sz w:val="24"/>
              </w:rPr>
              <w:t>Dated: March 30, 2001</w:t>
            </w:r>
          </w:p>
        </w:tc>
        <w:tc>
          <w:tcPr>
            <w:tcW w:w="5130" w:type="dxa"/>
            <w:tcBorders/>
          </w:tcPr>
          <w:p>
            <w:pPr>
              <w:pStyle w:val="Normal"/>
              <w:rPr>
                <w:rFonts w:ascii="Arial" w:hAnsi="Arial" w:cs="Arial"/>
                <w:sz w:val="24"/>
              </w:rPr>
            </w:pPr>
            <w:r>
              <w:rPr>
                <w:rFonts w:cs="Arial" w:ascii="Arial" w:hAnsi="Arial"/>
                <w:sz w:val="24"/>
              </w:rPr>
              <w:t>Respectfully submitted,</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rFonts w:ascii="Arial" w:hAnsi="Arial" w:cs="Arial"/>
                <w:b/>
                <w:sz w:val="28"/>
              </w:rPr>
            </w:pPr>
            <w:r>
              <w:rPr>
                <w:rFonts w:cs="Arial" w:ascii="Arial" w:hAnsi="Arial"/>
                <w:b/>
                <w:sz w:val="28"/>
              </w:rPr>
            </w:r>
          </w:p>
          <w:p>
            <w:pPr>
              <w:pStyle w:val="Normal"/>
              <w:rPr>
                <w:rFonts w:ascii="Arial" w:hAnsi="Arial" w:cs="Arial"/>
                <w:sz w:val="24"/>
              </w:rPr>
            </w:pPr>
            <w:r>
              <w:rPr>
                <w:rFonts w:cs="Arial" w:ascii="Arial" w:hAnsi="Arial"/>
                <w:sz w:val="24"/>
              </w:rPr>
              <w:t>_____________________________</w:t>
            </w:r>
          </w:p>
        </w:tc>
      </w:tr>
      <w:tr>
        <w:trPr/>
        <w:tc>
          <w:tcPr>
            <w:tcW w:w="4878" w:type="dxa"/>
            <w:tcBorders/>
          </w:tcPr>
          <w:p>
            <w:pPr>
              <w:pStyle w:val="Normal"/>
              <w:snapToGrid w:val="false"/>
              <w:rPr>
                <w:rFonts w:ascii="Arial" w:hAnsi="Arial" w:cs="Arial"/>
                <w:sz w:val="24"/>
              </w:rPr>
            </w:pPr>
            <w:r>
              <w:rPr>
                <w:rFonts w:cs="Arial" w:ascii="Arial" w:hAnsi="Arial"/>
                <w:sz w:val="24"/>
              </w:rPr>
            </w:r>
          </w:p>
        </w:tc>
        <w:tc>
          <w:tcPr>
            <w:tcW w:w="5130" w:type="dxa"/>
            <w:tcBorders/>
          </w:tcPr>
          <w:p>
            <w:pPr>
              <w:pStyle w:val="Normal"/>
              <w:rPr>
                <w:rFonts w:ascii="Arial" w:hAnsi="Arial" w:cs="Arial"/>
                <w:sz w:val="24"/>
              </w:rPr>
            </w:pPr>
            <w:r>
              <w:rPr>
                <w:rFonts w:cs="Arial" w:ascii="Arial" w:hAnsi="Arial"/>
                <w:sz w:val="24"/>
              </w:rPr>
              <w:t>Julie Simon, Vice President of Policy</w:t>
            </w:r>
          </w:p>
          <w:p>
            <w:pPr>
              <w:pStyle w:val="Normal"/>
              <w:rPr>
                <w:rFonts w:ascii="Arial" w:hAnsi="Arial" w:cs="Arial"/>
                <w:sz w:val="24"/>
              </w:rPr>
            </w:pPr>
            <w:r>
              <w:rPr>
                <w:rFonts w:cs="Arial" w:ascii="Arial" w:hAnsi="Arial"/>
                <w:sz w:val="24"/>
              </w:rPr>
              <w:t>Erin N. Perrigo, Manager of Policy</w:t>
            </w:r>
          </w:p>
          <w:p>
            <w:pPr>
              <w:pStyle w:val="Normal"/>
              <w:rPr>
                <w:rFonts w:ascii="Arial" w:hAnsi="Arial" w:cs="Arial"/>
                <w:sz w:val="24"/>
              </w:rPr>
            </w:pPr>
            <w:r>
              <w:rPr>
                <w:rFonts w:cs="Arial" w:ascii="Arial" w:hAnsi="Arial"/>
                <w:sz w:val="24"/>
              </w:rPr>
              <w:t>Electric Power Supply Association</w:t>
            </w:r>
          </w:p>
          <w:p>
            <w:pPr>
              <w:pStyle w:val="Normal"/>
              <w:rPr/>
            </w:pPr>
            <w:r>
              <w:rPr>
                <w:rFonts w:cs="Arial" w:ascii="Arial" w:hAnsi="Arial"/>
                <w:sz w:val="24"/>
              </w:rPr>
              <w:t>1401 New York Avenue, 11</w:t>
            </w:r>
            <w:r>
              <w:rPr>
                <w:rFonts w:cs="Arial" w:ascii="Arial" w:hAnsi="Arial"/>
                <w:sz w:val="24"/>
                <w:vertAlign w:val="superscript"/>
              </w:rPr>
              <w:t>th</w:t>
            </w:r>
            <w:r>
              <w:rPr>
                <w:rFonts w:cs="Arial" w:ascii="Arial" w:hAnsi="Arial"/>
                <w:sz w:val="24"/>
              </w:rPr>
              <w:t xml:space="preserve"> Floor</w:t>
            </w:r>
          </w:p>
          <w:p>
            <w:pPr>
              <w:pStyle w:val="Normal"/>
              <w:rPr>
                <w:rFonts w:ascii="Arial" w:hAnsi="Arial" w:cs="Arial"/>
                <w:sz w:val="24"/>
              </w:rPr>
            </w:pPr>
            <w:r>
              <w:rPr>
                <w:rFonts w:cs="Arial" w:ascii="Arial" w:hAnsi="Arial"/>
                <w:sz w:val="24"/>
              </w:rPr>
              <w:t>Washington, DC  20005</w:t>
            </w:r>
          </w:p>
          <w:p>
            <w:pPr>
              <w:pStyle w:val="Normal"/>
              <w:rPr>
                <w:rFonts w:ascii="Arial" w:hAnsi="Arial" w:cs="Arial"/>
                <w:sz w:val="24"/>
              </w:rPr>
            </w:pPr>
            <w:r>
              <w:rPr>
                <w:rFonts w:cs="Arial" w:ascii="Arial" w:hAnsi="Arial"/>
                <w:sz w:val="24"/>
              </w:rPr>
              <w:t>(202) 628-8200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c>
      </w:tr>
      <w:tr>
        <w:trPr/>
        <w:tc>
          <w:tcPr>
            <w:tcW w:w="4878" w:type="dxa"/>
            <w:tcBorders/>
          </w:tcPr>
          <w:p>
            <w:pPr>
              <w:pStyle w:val="Normal"/>
              <w:snapToGrid w:val="false"/>
              <w:rPr>
                <w:rFonts w:ascii="Arial" w:hAnsi="Arial" w:cs="Arial"/>
                <w:sz w:val="24"/>
              </w:rPr>
            </w:pPr>
            <w:r>
              <w:rPr>
                <w:rFonts w:cs="Arial" w:ascii="Arial" w:hAnsi="Arial"/>
                <w:sz w:val="24"/>
              </w:rPr>
            </w:r>
          </w:p>
        </w:tc>
        <w:tc>
          <w:tcPr>
            <w:tcW w:w="5130" w:type="dxa"/>
            <w:tcBorders/>
          </w:tcPr>
          <w:p>
            <w:pPr>
              <w:pStyle w:val="Normal"/>
              <w:snapToGrid w:val="false"/>
              <w:rPr>
                <w:rFonts w:ascii="Arial" w:hAnsi="Arial" w:cs="Arial"/>
                <w:sz w:val="24"/>
              </w:rPr>
            </w:pPr>
            <w:r>
              <w:rPr>
                <w:rFonts w:cs="Arial" w:ascii="Arial" w:hAnsi="Arial"/>
                <w:sz w:val="24"/>
              </w:rPr>
            </w:r>
          </w:p>
        </w:tc>
      </w:tr>
      <w:tr>
        <w:trPr/>
        <w:tc>
          <w:tcPr>
            <w:tcW w:w="4878" w:type="dxa"/>
            <w:tcBorders/>
          </w:tcPr>
          <w:p>
            <w:pPr>
              <w:pStyle w:val="Normal"/>
              <w:snapToGrid w:val="false"/>
              <w:rPr>
                <w:rFonts w:ascii="Arial" w:hAnsi="Arial" w:cs="Arial"/>
                <w:sz w:val="24"/>
              </w:rPr>
            </w:pPr>
            <w:r>
              <w:rPr>
                <w:rFonts w:cs="Arial" w:ascii="Arial" w:hAnsi="Arial"/>
                <w:sz w:val="24"/>
              </w:rPr>
            </w:r>
          </w:p>
        </w:tc>
        <w:tc>
          <w:tcPr>
            <w:tcW w:w="5130" w:type="dxa"/>
            <w:tcBorders/>
          </w:tcPr>
          <w:p>
            <w:pPr>
              <w:pStyle w:val="Normal"/>
              <w:snapToGrid w:val="fals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c>
      </w:tr>
    </w:tbl>
    <w:p>
      <w:pPr>
        <w:pStyle w:val="TitleStyle"/>
        <w:rPr>
          <w:rFonts w:ascii="Arial" w:hAnsi="Arial" w:cs="Arial"/>
          <w:u w:val="single"/>
        </w:rPr>
      </w:pPr>
      <w:r>
        <w:rPr>
          <w:rFonts w:cs="Arial" w:ascii="Arial" w:hAnsi="Arial"/>
          <w:u w:val="single"/>
        </w:rPr>
      </w:r>
      <w:r>
        <w:br w:type="page"/>
      </w:r>
    </w:p>
    <w:p>
      <w:pPr>
        <w:pStyle w:val="TitleStyle"/>
        <w:rPr>
          <w:rFonts w:ascii="Arial" w:hAnsi="Arial" w:cs="Arial"/>
          <w:u w:val="single"/>
        </w:rPr>
      </w:pPr>
      <w:r>
        <w:rPr>
          <w:rFonts w:cs="Arial" w:ascii="Arial" w:hAnsi="Arial"/>
          <w:u w:val="single"/>
        </w:rPr>
        <w:t>CErtificate of service</w:t>
      </w:r>
    </w:p>
    <w:p>
      <w:pPr>
        <w:pStyle w:val="TitleStyle"/>
        <w:rPr>
          <w:rFonts w:ascii="Arial" w:hAnsi="Arial" w:cs="Arial"/>
          <w:u w:val="single"/>
        </w:rPr>
      </w:pPr>
      <w:r>
        <w:rPr>
          <w:rFonts w:cs="Arial" w:ascii="Arial" w:hAnsi="Arial"/>
          <w:u w:val="single"/>
        </w:rPr>
      </w:r>
    </w:p>
    <w:p>
      <w:pPr>
        <w:pStyle w:val="BodyTextStyle"/>
        <w:rPr>
          <w:rFonts w:ascii="Arial" w:hAnsi="Arial" w:cs="Arial"/>
        </w:rPr>
      </w:pPr>
      <w:r>
        <w:rPr>
          <w:rFonts w:cs="Arial" w:ascii="Arial" w:hAnsi="Arial"/>
        </w:rPr>
        <w:t>I hereby certify that I have served a copy of the foregoing document by first class United States mail, postage prepaid, upon each person designated on the official service list compiled by the Secretary in this proceeding.</w:t>
      </w:r>
    </w:p>
    <w:p>
      <w:pPr>
        <w:pStyle w:val="BodyText"/>
        <w:rPr/>
      </w:pPr>
      <w:r>
        <w:rPr>
          <w:rFonts w:cs="Arial" w:ascii="Arial" w:hAnsi="Arial"/>
          <w:caps/>
        </w:rPr>
        <w:t>d</w:t>
      </w:r>
      <w:r>
        <w:rPr>
          <w:rFonts w:cs="Arial" w:ascii="Arial" w:hAnsi="Arial"/>
        </w:rPr>
        <w:t>ated at Washington, D.C. this 30</w:t>
      </w:r>
      <w:r>
        <w:rPr>
          <w:rFonts w:cs="Arial" w:ascii="Arial" w:hAnsi="Arial"/>
          <w:vertAlign w:val="superscript"/>
        </w:rPr>
        <w:t>th</w:t>
      </w:r>
      <w:r>
        <w:rPr>
          <w:rFonts w:cs="Arial" w:ascii="Arial" w:hAnsi="Arial"/>
        </w:rPr>
        <w:t xml:space="preserve"> day of March,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ab/>
        <w:tab/>
        <w:tab/>
        <w:tab/>
        <w:tab/>
      </w:r>
    </w:p>
    <w:p>
      <w:pPr>
        <w:pStyle w:val="SignatureBlock"/>
        <w:ind w:start="3600" w:end="0"/>
        <w:rPr>
          <w:rFonts w:ascii="Arial" w:hAnsi="Arial" w:cs="Arial"/>
        </w:rPr>
      </w:pPr>
      <w:r>
        <w:rPr>
          <w:rFonts w:cs="Arial" w:ascii="Arial" w:hAnsi="Arial"/>
        </w:rPr>
        <w:t>___________________________________</w:t>
      </w:r>
    </w:p>
    <w:p>
      <w:pPr>
        <w:pStyle w:val="SignatureBlock"/>
        <w:ind w:start="3600" w:end="0"/>
        <w:rPr>
          <w:rFonts w:ascii="Arial" w:hAnsi="Arial" w:cs="Arial"/>
        </w:rPr>
      </w:pPr>
      <w:r>
        <w:rPr>
          <w:rFonts w:cs="Arial" w:ascii="Arial" w:hAnsi="Arial"/>
        </w:rPr>
        <w:t>Julie Simon</w:t>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11">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spacing w:lineRule="auto" w:line="480"/>
        <w:ind w:firstLine="720" w:end="0"/>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8">
                <wp:simplePos x="0" y="0"/>
                <wp:positionH relativeFrom="column">
                  <wp:posOffset>-822960</wp:posOffset>
                </wp:positionH>
                <wp:positionV relativeFrom="paragraph">
                  <wp:posOffset>635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rPr>
          <w:rFonts w:ascii="Arial" w:hAnsi="Arial" w:cs="Arial"/>
        </w:rPr>
      </w:pPr>
      <w:r>
        <w:rPr>
          <w:rFonts w:cs="Arial" w:ascii="Arial" w:hAnsi="Arial"/>
        </w:rPr>
      </w:r>
    </w:p>
    <w:sectPr>
      <w:headerReference w:type="default" r:id="rId2"/>
      <w:footerReference w:type="default" r:id="rId3"/>
      <w:footnotePr>
        <w:numFmt w:val="decimal"/>
      </w:footnotePr>
      <w:type w:val="nextPage"/>
      <w:pgSz w:w="12240" w:h="15840"/>
      <w:pgMar w:left="1440" w:right="1440" w:gutter="0" w:header="432"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7">
              <wp:simplePos x="0" y="0"/>
              <wp:positionH relativeFrom="page">
                <wp:posOffset>3749675</wp:posOffset>
              </wp:positionH>
              <wp:positionV relativeFrom="paragraph">
                <wp:posOffset>-31115</wp:posOffset>
              </wp:positionV>
              <wp:extent cx="71120" cy="165100"/>
              <wp:effectExtent l="0" t="0" r="0" b="0"/>
              <wp:wrapSquare wrapText="bothSides"/>
              <wp:docPr id="5" name="Frame2"/>
              <a:graphic xmlns:a="http://schemas.openxmlformats.org/drawingml/2006/main">
                <a:graphicData uri="http://schemas.microsoft.com/office/word/2010/wordprocessingShape">
                  <wps:wsp>
                    <wps:cNvSpPr txBox="1"/>
                    <wps:spPr>
                      <a:xfrm>
                        <a:off x="0" y="0"/>
                        <a:ext cx="71120" cy="165100"/>
                      </a:xfrm>
                      <a:prstGeom prst="rect"/>
                      <a:solidFill>
                        <a:srgbClr val="FFFFFF">
                          <a:alpha val="0"/>
                        </a:srgbClr>
                      </a:solidFill>
                    </wps:spPr>
                    <wps:txbx>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6</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3pt;mso-wrap-distance-left:0pt;mso-wrap-distance-right:0pt;mso-wrap-distance-top:0pt;mso-wrap-distance-bottom:0pt;margin-top:-2.45pt;mso-position-vertical-relative:text;margin-left:295.25pt;mso-position-horizontal-relative:page">
              <v:fill opacity="0f"/>
              <v:textbox inset="0in,0in,0in,0in">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6</w:t>
                    </w:r>
                    <w:r>
                      <w:rPr>
                        <w:rStyle w:val="PageNumber"/>
                        <w:sz w:val="20"/>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 xml:space="preserve">EPSA is the national trade association representing competitive power suppliers active in U.S. and global power markets.  EPSA’s members, which include power generators, power marketers and suppliers of goods and services to the electric power supply industry, share a commitment to bringing the benefits of competition to all electric customers. The comments contained in this filing represent the position of EPSA as an organization, but not necessarily the views of any particular member with respect to any issue. </w:t>
      </w:r>
    </w:p>
  </w:footnote>
  <w:footnote w:id="3">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The first NYISO TEP extension request was made in November of 1999.  The Commission has since approved extensions four additional times.</w:t>
      </w:r>
    </w:p>
  </w:footnote>
  <w:footnote w:id="4">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u w:val="single"/>
        </w:rPr>
        <w:t>New York Independent System Operator, Inc.</w:t>
      </w:r>
      <w:r>
        <w:rPr>
          <w:rFonts w:cs="Arial" w:ascii="Arial" w:hAnsi="Arial"/>
          <w:sz w:val="20"/>
        </w:rPr>
        <w:t>, 93 FERC ¶ 61,187 (2000).</w:t>
      </w:r>
    </w:p>
  </w:footnote>
  <w:footnote w:id="5">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Remarks by William L. Massey, Commissioner of the Federal Regulatory Energy Commission. “Ensuring RTO Formation an Well Functioning Markets.”  Board of Directors Meeting, Edison Electric Institute. Chicago, Illinois.  September 7, 2000.</w:t>
      </w:r>
    </w:p>
  </w:footnote>
  <w:footnote w:id="6">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David B. Patton, Ph.D., New York ISO Market Advisor</w:t>
      </w:r>
      <w:r>
        <w:rPr>
          <w:rFonts w:cs="Arial" w:ascii="Arial" w:hAnsi="Arial"/>
          <w:i/>
          <w:sz w:val="20"/>
        </w:rPr>
        <w:t>.  Preliminary Market Assessment of the New York Electric Markets</w:t>
      </w:r>
      <w:r>
        <w:rPr>
          <w:rFonts w:cs="Arial" w:ascii="Arial" w:hAnsi="Arial"/>
          <w:sz w:val="20"/>
        </w:rPr>
        <w:t xml:space="preserve">.  Presented to NYISO Board and Management Committee.  October 17, 2000.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32"/>
      </w:rPr>
    </w:pPr>
    <w:r>
      <w:rPr>
        <w:rFonts w:cs="Arial" w:ascii="Arial" w:hAnsi="Arial"/>
        <w:b/>
        <w:sz w:val="32"/>
      </w:rPr>
      <w:t>DRAFT</w:t>
    </w:r>
  </w:p>
  <w:p>
    <w:pPr>
      <w:pStyle w:val="Header"/>
      <w:jc w:val="end"/>
      <w:rPr>
        <w:rFonts w:ascii="Arial" w:hAnsi="Arial" w:cs="Arial"/>
        <w:b/>
      </w:rPr>
    </w:pPr>
    <w:r>
      <w:rPr>
        <w:rFonts w:cs="Arial" w:ascii="Arial" w:hAnsi="Arial"/>
        <w:b/>
      </w:rPr>
      <w:t>3/26/01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lineRule="exact" w:line="260" w:before="260" w:after="0"/>
      <w:outlineLvl w:val="0"/>
    </w:pPr>
    <w:rPr>
      <w:rFonts w:ascii="Galliard" w:hAnsi="Galliard" w:cs="Galliard"/>
      <w:b/>
      <w:kern w:val="2"/>
      <w:sz w:val="24"/>
    </w:rPr>
  </w:style>
  <w:style w:type="paragraph" w:styleId="Heading2">
    <w:name w:val="heading 2"/>
    <w:basedOn w:val="Normal"/>
    <w:next w:val="BodyText"/>
    <w:qFormat/>
    <w:pPr>
      <w:numPr>
        <w:ilvl w:val="1"/>
        <w:numId w:val="1"/>
      </w:numPr>
      <w:spacing w:lineRule="exact" w:line="260" w:before="260" w:after="0"/>
      <w:outlineLvl w:val="1"/>
    </w:pPr>
    <w:rPr>
      <w:rFonts w:ascii="Galliard" w:hAnsi="Galliard" w:cs="Galliard"/>
      <w:sz w:val="24"/>
    </w:rPr>
  </w:style>
  <w:style w:type="paragraph" w:styleId="Heading3">
    <w:name w:val="heading 3"/>
    <w:basedOn w:val="Normal"/>
    <w:next w:val="BodyText"/>
    <w:qFormat/>
    <w:pPr>
      <w:numPr>
        <w:ilvl w:val="2"/>
        <w:numId w:val="1"/>
      </w:numPr>
      <w:spacing w:lineRule="exact" w:line="260" w:before="260" w:after="0"/>
      <w:outlineLvl w:val="2"/>
    </w:pPr>
    <w:rPr>
      <w:rFonts w:ascii="Galliard" w:hAnsi="Galliard" w:cs="Galliard"/>
      <w:sz w:val="24"/>
    </w:rPr>
  </w:style>
  <w:style w:type="paragraph" w:styleId="Heading4">
    <w:name w:val="heading 4"/>
    <w:basedOn w:val="Normal"/>
    <w:next w:val="BodyText"/>
    <w:qFormat/>
    <w:pPr>
      <w:numPr>
        <w:ilvl w:val="3"/>
        <w:numId w:val="1"/>
      </w:numPr>
      <w:spacing w:lineRule="exact" w:line="260" w:before="260" w:after="0"/>
      <w:outlineLvl w:val="3"/>
    </w:pPr>
    <w:rPr>
      <w:rFonts w:ascii="Galliard" w:hAnsi="Galliard" w:cs="Galliard"/>
      <w:sz w:val="24"/>
    </w:rPr>
  </w:style>
  <w:style w:type="paragraph" w:styleId="Heading5">
    <w:name w:val="heading 5"/>
    <w:basedOn w:val="Normal"/>
    <w:next w:val="BodyText"/>
    <w:qFormat/>
    <w:pPr>
      <w:numPr>
        <w:ilvl w:val="4"/>
        <w:numId w:val="1"/>
      </w:numPr>
      <w:spacing w:lineRule="exact" w:line="260" w:before="260" w:after="0"/>
      <w:outlineLvl w:val="4"/>
    </w:pPr>
    <w:rPr>
      <w:rFonts w:ascii="Galliard" w:hAnsi="Galliard" w:cs="Galliard"/>
      <w:sz w:val="24"/>
    </w:rPr>
  </w:style>
  <w:style w:type="paragraph" w:styleId="Heading6">
    <w:name w:val="heading 6"/>
    <w:basedOn w:val="Normal"/>
    <w:next w:val="BodyText"/>
    <w:qFormat/>
    <w:pPr>
      <w:numPr>
        <w:ilvl w:val="5"/>
        <w:numId w:val="1"/>
      </w:numPr>
      <w:spacing w:lineRule="exact" w:line="260" w:before="260" w:after="0"/>
      <w:outlineLvl w:val="5"/>
    </w:pPr>
    <w:rPr>
      <w:rFonts w:ascii="Galliard" w:hAnsi="Galliard" w:cs="Galliard"/>
      <w:sz w:val="24"/>
    </w:rPr>
  </w:style>
  <w:style w:type="paragraph" w:styleId="Heading7">
    <w:name w:val="heading 7"/>
    <w:basedOn w:val="Normal"/>
    <w:next w:val="BodyText"/>
    <w:qFormat/>
    <w:pPr>
      <w:numPr>
        <w:ilvl w:val="6"/>
        <w:numId w:val="1"/>
      </w:numPr>
      <w:spacing w:lineRule="exact" w:line="520"/>
      <w:outlineLvl w:val="6"/>
    </w:pPr>
    <w:rPr>
      <w:rFonts w:ascii="Galliard" w:hAnsi="Galliard" w:cs="Galliard"/>
      <w:sz w:val="24"/>
    </w:rPr>
  </w:style>
  <w:style w:type="paragraph" w:styleId="Heading8">
    <w:name w:val="heading 8"/>
    <w:basedOn w:val="Normal"/>
    <w:next w:val="BodyText"/>
    <w:qFormat/>
    <w:pPr>
      <w:numPr>
        <w:ilvl w:val="7"/>
        <w:numId w:val="1"/>
      </w:numPr>
      <w:spacing w:lineRule="exact" w:line="260" w:before="260" w:after="0"/>
      <w:outlineLvl w:val="7"/>
    </w:pPr>
    <w:rPr>
      <w:rFonts w:ascii="Galliard" w:hAnsi="Galliard" w:cs="Galliard"/>
      <w:sz w:val="24"/>
    </w:rPr>
  </w:style>
  <w:style w:type="paragraph" w:styleId="Heading9">
    <w:name w:val="heading 9"/>
    <w:basedOn w:val="Normal"/>
    <w:next w:val="BodyText"/>
    <w:qFormat/>
    <w:pPr>
      <w:numPr>
        <w:ilvl w:val="8"/>
        <w:numId w:val="1"/>
      </w:numPr>
      <w:spacing w:lineRule="exact" w:line="520"/>
      <w:outlineLvl w:val="8"/>
    </w:pPr>
    <w:rPr>
      <w:rFonts w:ascii="Galliard" w:hAnsi="Galliard" w:cs="Galliard"/>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73"/>
      <w:ind w:firstLine="1080" w:start="0" w:end="0"/>
    </w:pPr>
    <w:rPr>
      <w:rFonts w:ascii="Galliard" w:hAnsi="Galliard" w:cs="Galliard"/>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rFonts w:ascii="Galliard" w:hAnsi="Galliard" w:cs="Galliard"/>
      <w:sz w:val="24"/>
    </w:rPr>
  </w:style>
  <w:style w:type="paragraph" w:styleId="BodyTextStyle">
    <w:name w:val="Body Text Style"/>
    <w:basedOn w:val="Normal"/>
    <w:qFormat/>
    <w:pPr>
      <w:spacing w:lineRule="exact" w:line="520"/>
      <w:ind w:firstLine="1080" w:start="0" w:end="0"/>
    </w:pPr>
    <w:rPr>
      <w:rFonts w:ascii="Galliard" w:hAnsi="Galliard" w:cs="Galliard"/>
      <w:sz w:val="24"/>
    </w:rPr>
  </w:style>
  <w:style w:type="paragraph" w:styleId="Center">
    <w:name w:val="Center"/>
    <w:basedOn w:val="Normal"/>
    <w:qFormat/>
    <w:pPr>
      <w:spacing w:lineRule="exact" w:line="260" w:before="260" w:after="0"/>
      <w:jc w:val="center"/>
    </w:pPr>
    <w:rPr>
      <w:rFonts w:ascii="Galliard" w:hAnsi="Galliard" w:cs="Galliard"/>
      <w:sz w:val="24"/>
    </w:rPr>
  </w:style>
  <w:style w:type="paragraph" w:styleId="SignatureBlock">
    <w:name w:val="Signature Block"/>
    <w:basedOn w:val="Normal"/>
    <w:qFormat/>
    <w:pPr>
      <w:spacing w:lineRule="exact" w:line="260"/>
      <w:ind w:hanging="0" w:start="4680" w:end="0"/>
    </w:pPr>
    <w:rPr>
      <w:rFonts w:ascii="Galliard" w:hAnsi="Galliard" w:cs="Galliard"/>
      <w:sz w:val="24"/>
    </w:rPr>
  </w:style>
  <w:style w:type="paragraph" w:styleId="Footer">
    <w:name w:val="footer"/>
    <w:basedOn w:val="Normal"/>
    <w:pPr>
      <w:tabs>
        <w:tab w:val="clear" w:pos="720"/>
        <w:tab w:val="center" w:pos="4320" w:leader="none"/>
        <w:tab w:val="right" w:pos="8640" w:leader="none"/>
      </w:tabs>
      <w:spacing w:lineRule="exact" w:line="260"/>
    </w:pPr>
    <w:rPr>
      <w:rFonts w:ascii="Galliard" w:hAnsi="Galliard" w:cs="Galliard"/>
      <w:sz w:val="24"/>
    </w:rPr>
  </w:style>
  <w:style w:type="paragraph" w:styleId="FootnoteText">
    <w:name w:val="footnote text"/>
    <w:basedOn w:val="Normal"/>
    <w:pPr>
      <w:spacing w:lineRule="exact" w:line="260" w:before="0" w:after="120"/>
    </w:pPr>
    <w:rPr>
      <w:rFonts w:ascii="Galliard" w:hAnsi="Galliard" w:cs="Galliard"/>
      <w:sz w:val="22"/>
    </w:rPr>
  </w:style>
  <w:style w:type="paragraph" w:styleId="TitleStyle">
    <w:name w:val="Title Style"/>
    <w:basedOn w:val="Normal"/>
    <w:qFormat/>
    <w:pPr>
      <w:jc w:val="center"/>
    </w:pPr>
    <w:rPr>
      <w:rFonts w:ascii="Galliard" w:hAnsi="Galliard" w:cs="Galliard"/>
      <w:b/>
      <w:caps/>
      <w:sz w:val="24"/>
    </w:rPr>
  </w:style>
  <w:style w:type="paragraph" w:styleId="BodyText2">
    <w:name w:val="Body Text 2"/>
    <w:basedOn w:val="Normal"/>
    <w:qFormat/>
    <w:pPr>
      <w:tabs>
        <w:tab w:val="left" w:pos="720" w:leader="none"/>
      </w:tabs>
      <w:spacing w:lineRule="auto" w:line="480"/>
    </w:pPr>
    <w:rPr>
      <w:rFonts w:ascii="Arial" w:hAnsi="Arial" w:cs="Arial"/>
      <w:sz w:val="24"/>
      <w:lang w:eastAsia="en-US"/>
    </w:rPr>
  </w:style>
  <w:style w:type="paragraph" w:styleId="BodyText3">
    <w:name w:val="Body Text 3"/>
    <w:basedOn w:val="Normal"/>
    <w:qFormat/>
    <w:pPr>
      <w:spacing w:lineRule="auto" w:line="480"/>
    </w:pPr>
    <w:rPr>
      <w:rFonts w:ascii="Arial" w:hAnsi="Arial" w:cs="Arial"/>
      <w:color w:val="000000"/>
      <w:sz w:val="24"/>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Indent2">
    <w:name w:val="Body Text Indent 2"/>
    <w:basedOn w:val="Normal"/>
    <w:qFormat/>
    <w:pPr>
      <w:ind w:firstLine="720" w:start="0" w:end="0"/>
    </w:pPr>
    <w:rPr>
      <w:rFonts w:ascii="Arial" w:hAnsi="Arial" w:cs="Arial"/>
      <w:b/>
      <w:sz w:val="24"/>
    </w:rPr>
  </w:style>
  <w:style w:type="paragraph" w:styleId="bodytext-indent">
    <w:name w:val="body text - indent"/>
    <w:basedOn w:val="Normal"/>
    <w:qFormat/>
    <w:pPr>
      <w:spacing w:lineRule="atLeast" w:line="480"/>
      <w:ind w:firstLine="1440" w:start="0" w:end="0"/>
    </w:pPr>
    <w:rPr>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2001-03-26T13:50:00Z</dcterms:created>
  <dc:creator>EPSA Staff</dc:creator>
  <dc:description/>
  <dc:language>en-CA</dc:language>
  <cp:lastModifiedBy>Jackie Gallagher</cp:lastModifiedBy>
  <cp:lastPrinted>2001-03-26T15:23:00Z</cp:lastPrinted>
  <dcterms:modified xsi:type="dcterms:W3CDTF">2001-03-26T19:58:00Z</dcterms:modified>
  <cp:revision>23</cp:revision>
  <dc:subject/>
  <dc:title>UNITED STATES OF AMERICA</dc:title>
</cp:coreProperties>
</file>