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u w:val="single"/>
        </w:rPr>
      </w:pPr>
      <w:r>
        <w:rPr>
          <w:u w:val="single"/>
        </w:rPr>
      </w:r>
    </w:p>
    <w:p>
      <w:pPr>
        <w:pStyle w:val="BodyText"/>
        <w:rPr>
          <w:u w:val="single"/>
        </w:rPr>
      </w:pPr>
      <w:r>
        <w:rPr>
          <w:u w:val="single"/>
        </w:rPr>
      </w:r>
    </w:p>
    <w:p>
      <w:pPr>
        <w:pStyle w:val="Subtitle"/>
        <w:rPr>
          <w:u w:val="single"/>
        </w:rPr>
      </w:pPr>
      <w:r>
        <w:rPr>
          <w:u w:val="single"/>
        </w:rPr>
        <w:t>Optional Language to make the Master Agreement "Unilateral", i.e., only covering sales from Party A to Party B</w:t>
        <w:br/>
      </w:r>
    </w:p>
    <w:p>
      <w:pPr>
        <w:pStyle w:val="BlockText"/>
        <w:rPr>
          <w:i/>
          <w:i/>
        </w:rPr>
      </w:pPr>
      <w:r>
        <w:rPr>
          <w:i/>
        </w:rPr>
        <w:t>The language set forth below would be appropriate for inclusion under the "Other Changes" section of the Cover Sheet if the parties desire to limit the Agreement's applicability only to sales of Products by Party A to Party B.</w:t>
      </w:r>
    </w:p>
    <w:p>
      <w:pPr>
        <w:pStyle w:val="BlockText"/>
        <w:rPr>
          <w:b/>
          <w:u w:val="single"/>
        </w:rPr>
      </w:pPr>
      <w:r>
        <w:rPr>
          <w:b/>
          <w:u w:val="single"/>
        </w:rPr>
        <w:t>Other Changes</w:t>
      </w:r>
    </w:p>
    <w:p>
      <w:pPr>
        <w:pStyle w:val="BlockText"/>
        <w:rPr/>
      </w:pPr>
      <w:r>
        <w:rPr/>
        <w:t>Unilateral Agreement.  The definition of "Transaction" in Section 1.60 is amended to read, in its entirety, as follows:</w:t>
      </w:r>
    </w:p>
    <w:p>
      <w:pPr>
        <w:pStyle w:val="BodyText2"/>
        <w:rPr/>
      </w:pPr>
      <w:r>
        <w:rPr/>
        <w:t>1.60</w:t>
        <w:tab/>
        <w:t>"Transaction" means a particular transaction agreed to by the Parties relating to the sale by Party A and the purchase by Party B of a Product pursuant to this Master Agreement.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-4445</wp:posOffset>
                </wp:positionH>
                <wp:positionV relativeFrom="paragraph">
                  <wp:posOffset>300990</wp:posOffset>
                </wp:positionV>
                <wp:extent cx="6135370" cy="648970"/>
                <wp:effectExtent l="0" t="0" r="0" b="0"/>
                <wp:wrapNone/>
                <wp:docPr id="1" name="Frame1"/>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23.7pt;mso-position-vertical-relative:text;margin-left:-0.3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pStyle w:val="BodyText"/>
        <w:rPr/>
      </w:pPr>
      <w:r>
        <w:rPr/>
      </w:r>
      <w:r>
        <w:br w:type="page"/>
      </w:r>
    </w:p>
    <w:p>
      <w:pPr>
        <w:pStyle w:val="Subtitle"/>
        <w:rPr/>
      </w:pPr>
      <w:r>
        <w:rPr/>
      </w:r>
    </w:p>
    <w:p>
      <w:pPr>
        <w:pStyle w:val="BodyText"/>
        <w:rPr/>
      </w:pPr>
      <w:r>
        <w:rPr/>
      </w:r>
    </w:p>
    <w:p>
      <w:pPr>
        <w:pStyle w:val="Subtitle"/>
        <w:rPr>
          <w:u w:val="single"/>
        </w:rPr>
      </w:pPr>
      <w:r>
        <w:rPr>
          <w:u w:val="single"/>
        </w:rPr>
        <w:t>Optional Language to cause prior transactions to be governed by the Master Agreement</w:t>
        <w:br/>
      </w:r>
    </w:p>
    <w:p>
      <w:pPr>
        <w:pStyle w:val="BlockText"/>
        <w:rPr>
          <w:i/>
          <w:i/>
        </w:rPr>
      </w:pPr>
      <w:r>
        <w:rPr>
          <w:i/>
        </w:rPr>
        <w:t>The language set forth below would be appropriate for inclusion under the "Other Changes" section of the Cover Sheet if the parties desire that the Master Agreement govern prior power transactions.</w:t>
      </w:r>
    </w:p>
    <w:p>
      <w:pPr>
        <w:pStyle w:val="BlockText"/>
        <w:rPr>
          <w:b/>
          <w:u w:val="single"/>
        </w:rPr>
      </w:pPr>
      <w:r>
        <w:rPr>
          <w:b/>
          <w:u w:val="single"/>
        </w:rPr>
        <w:t>Other Changes</w:t>
      </w:r>
    </w:p>
    <w:p>
      <w:pPr>
        <w:pStyle w:val="BlockText"/>
        <w:rPr/>
      </w:pPr>
      <w:r>
        <w:rPr/>
        <w:t>Prior Transactions.  The following additional sentence is added at the beginning of Section 2.2:</w:t>
      </w:r>
    </w:p>
    <w:p>
      <w:pPr>
        <w:pStyle w:val="BodyText3"/>
        <w:rPr/>
      </w:pPr>
      <w:r>
        <w:rPr/>
        <w:t>Party A and Party B confirm that the General Terms and Conditions of this Master Agreement shall apply to, and shall supersede and replace all similar provisions contained in, the agreements and transactions listed on Schedule T hereto, and agree that such agreements and transactions are, effective as of the Effective Date, governed by the General Terms and Conditions of this Master Agreement, and are part of the single integrated agreement between the Parties, consistent with this Section 2.2.</w:t>
      </w:r>
    </w:p>
    <w:p>
      <w:pPr>
        <w:pStyle w:val="BodyText2"/>
        <w:rPr/>
      </w:pPr>
      <w:r>
        <w:rPr/>
      </w:r>
    </w:p>
    <w:p>
      <w:pPr>
        <w:pStyle w:val="BlockText"/>
        <w:rPr/>
      </w:pPr>
      <w:r>
        <w:rPr/>
        <w:t>[Use of this provision requires that Schedule T be completed and attached to the Master Agreement.]</w:t>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-187325</wp:posOffset>
                </wp:positionH>
                <wp:positionV relativeFrom="paragraph">
                  <wp:posOffset>49530</wp:posOffset>
                </wp:positionV>
                <wp:extent cx="6135370" cy="648970"/>
                <wp:effectExtent l="0" t="0" r="0" b="0"/>
                <wp:wrapNone/>
                <wp:docPr id="2" name="Frame2"/>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3.9pt;mso-position-vertical-relative:text;margin-left:-14.7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fmt="decimal"/>
          <w:formProt w:val="false"/>
          <w:titlePg/>
          <w:textDirection w:val="lrTb"/>
          <w:docGrid w:type="default" w:linePitch="360" w:charSpace="0"/>
        </w:sectPr>
        <w:pStyle w:val="BodyText2"/>
        <w:rPr/>
      </w:pPr>
      <w:r>
        <w:rPr/>
      </w:r>
    </w:p>
    <w:p>
      <w:pPr>
        <w:pStyle w:val="BodyText"/>
        <w:rPr/>
      </w:pPr>
      <w:r>
        <w:rPr/>
      </w:r>
    </w:p>
    <w:p>
      <w:pPr>
        <w:pStyle w:val="Subtitle"/>
        <w:rPr>
          <w:u w:val="single"/>
        </w:rPr>
      </w:pPr>
      <w:r>
        <w:rPr>
          <w:u w:val="single"/>
        </w:rPr>
        <w:t>Optional Language for a Master Agreement that is entered into by an agent (such as a service company affiliate) on behalf of a party (such as a utility operating company)</w:t>
      </w:r>
    </w:p>
    <w:p>
      <w:pPr>
        <w:pStyle w:val="BlockText"/>
        <w:rPr>
          <w:i/>
          <w:i/>
        </w:rPr>
      </w:pPr>
      <w:r>
        <w:rPr>
          <w:i/>
        </w:rPr>
        <w:t>The language set forth below would be appropriate for inclusion under the "Other Changes" section of the Cover Sheet if the Master Agreement or Transaction Confirmations are contemplated to be signed by an Agent on behalf of a party (amended, for drafting convenience, to be Party B).</w:t>
      </w:r>
    </w:p>
    <w:p>
      <w:pPr>
        <w:pStyle w:val="BlockText"/>
        <w:rPr>
          <w:b/>
          <w:u w:val="single"/>
        </w:rPr>
      </w:pPr>
      <w:r>
        <w:rPr>
          <w:b/>
          <w:u w:val="single"/>
        </w:rPr>
        <w:t>Other Changes</w:t>
      </w:r>
    </w:p>
    <w:p>
      <w:pPr>
        <w:pStyle w:val="BlockText"/>
        <w:rPr/>
      </w:pPr>
      <w:r>
        <w:rPr/>
        <w:t>Section 10.2 shall be amended by designating the original text thereof as paragraph (a), and by adding a new paragraph (b), reading in its entirety as follows:</w:t>
      </w:r>
    </w:p>
    <w:p>
      <w:pPr>
        <w:pStyle w:val="BodyText3"/>
        <w:rPr/>
      </w:pPr>
      <w:r>
        <w:rPr/>
        <w:t>(b)  On the Effective Date and the date of entering into each Transaction, Party B represents and warrants to Party A that:</w:t>
      </w:r>
    </w:p>
    <w:p>
      <w:pPr>
        <w:pStyle w:val="BodyTextFirstIndent"/>
        <w:rPr/>
      </w:pPr>
      <w:r>
        <w:rPr/>
        <w:t xml:space="preserve">(i) the execution, delivery, and performance of this Master Agreement and all Confirmations by </w:t>
      </w:r>
      <w:r>
        <w:rPr>
          <w:color w:val="FF0000"/>
          <w:u w:val="single"/>
        </w:rPr>
        <w:t>[insert name of agent]</w:t>
      </w:r>
      <w:r>
        <w:rPr/>
        <w:t xml:space="preserve"> (the "Agent") is within the scope of the power and authority of the Agent to act for and bind Party B pursuant to that certain </w:t>
      </w:r>
      <w:r>
        <w:rPr>
          <w:color w:val="FF0000"/>
          <w:u w:val="single"/>
        </w:rPr>
        <w:t>[insert name of the agency agreement]</w:t>
      </w:r>
      <w:r>
        <w:rPr/>
        <w:t xml:space="preserve"> dated </w:t>
      </w:r>
      <w:r>
        <w:rPr>
          <w:color w:val="FF0000"/>
          <w:u w:val="single"/>
        </w:rPr>
        <w:t>[insert date of agency agreement]</w:t>
      </w:r>
      <w:r>
        <w:rPr/>
        <w:t xml:space="preserve"> the (“Agency Agreement”);</w:t>
      </w:r>
    </w:p>
    <w:p>
      <w:pPr>
        <w:pStyle w:val="BodyTextFirstIndent"/>
        <w:rPr/>
      </w:pPr>
      <w:r>
        <w:rPr/>
        <w:t>(ii) the Agency Agreement has been duly authorized, executed and delivered by the Agent and Party B, is in full force and effect, and constitutes the legal, valid and binding obligations of each of Party B and the Agent;</w:t>
      </w:r>
    </w:p>
    <w:p>
      <w:pPr>
        <w:pStyle w:val="BodyTextFirstIndent"/>
        <w:rPr/>
      </w:pPr>
      <w:r>
        <w:rPr/>
        <w:t>(iii) the Agent is duly organized, validly existing, and in good standing under the applicable laws of the jurisdiction of its formation; and</w:t>
      </w:r>
    </w:p>
    <w:p>
      <w:pPr>
        <w:pStyle w:val="BodyTextFirstIndent"/>
        <w:rPr/>
      </w:pPr>
      <w:r>
        <w:rPr/>
        <w:t>(iv) Party B will be fully bound to perform the obligations incurred under this Master Agreement on its behalf by Agent.</w:t>
      </w:r>
    </w:p>
    <w:p>
      <w:pPr>
        <w:pStyle w:val="BodyTextFirstIndent"/>
        <w:rPr/>
      </w:pPr>
      <w:r>
        <w:rPr/>
      </w:r>
    </w:p>
    <w:p>
      <w:pPr>
        <w:pStyle w:val="BodyTextFirstIndent"/>
        <w:rPr/>
      </w:pPr>
      <w:r>
        <w:rPr/>
      </w:r>
    </w:p>
    <w:p>
      <w:pPr>
        <w:pStyle w:val="BodyTextFirstIndent"/>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86995</wp:posOffset>
                </wp:positionH>
                <wp:positionV relativeFrom="paragraph">
                  <wp:posOffset>34290</wp:posOffset>
                </wp:positionV>
                <wp:extent cx="6135370" cy="648970"/>
                <wp:effectExtent l="0" t="0" r="0" b="0"/>
                <wp:wrapNone/>
                <wp:docPr id="3" name="Frame3"/>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2.7pt;mso-position-vertical-relative:text;margin-left:6.8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pStyle w:val="BodyTextFirstIndent"/>
        <w:rPr/>
      </w:pPr>
      <w:r>
        <w:rPr/>
      </w:r>
    </w:p>
    <w:p>
      <w:pPr>
        <w:pStyle w:val="BodyTextFirstIndent"/>
        <w:rPr/>
      </w:pPr>
      <w:r>
        <w:rPr/>
      </w:r>
    </w:p>
    <w:p>
      <w:pPr>
        <w:pStyle w:val="BodyTextFirstIndent"/>
        <w:rPr/>
      </w:pPr>
      <w:r>
        <w:rPr/>
      </w:r>
      <w:r>
        <w:br w:type="page"/>
      </w:r>
    </w:p>
    <w:p>
      <w:pPr>
        <w:pStyle w:val="BodyTextFirstIndent"/>
        <w:rPr/>
      </w:pPr>
      <w:r>
        <w:rPr/>
      </w:r>
    </w:p>
    <w:p>
      <w:pPr>
        <w:pStyle w:val="BodyTextFirstIndent"/>
        <w:rPr/>
      </w:pPr>
      <w:r>
        <w:rPr/>
      </w:r>
    </w:p>
    <w:p>
      <w:pPr>
        <w:pStyle w:val="BlockText"/>
        <w:rPr>
          <w:i/>
          <w:i/>
        </w:rPr>
      </w:pPr>
      <w:r>
        <w:rPr>
          <w:i/>
        </w:rPr>
        <w:t>The Cover Sheet should be completed in the name of Party B, with the signature block modified as follows:</w:t>
      </w:r>
    </w:p>
    <w:p>
      <w:pPr>
        <w:pStyle w:val="BlockText"/>
        <w:rPr/>
      </w:pPr>
      <w:r>
        <w:rPr/>
        <w:t>Party B Name</w:t>
      </w:r>
    </w:p>
    <w:p>
      <w:pPr>
        <w:pStyle w:val="BlockText"/>
        <w:rPr/>
      </w:pPr>
      <w:r>
        <w:rPr/>
        <w:t>By:</w:t>
        <w:tab/>
        <w:t>[Name of Agent], as agent for [Party B]</w:t>
      </w:r>
    </w:p>
    <w:p>
      <w:pPr>
        <w:pStyle w:val="BlockText"/>
        <w:rPr/>
      </w:pPr>
      <w:r>
        <w:rPr/>
        <w:tab/>
        <w:t>By:</w:t>
        <w:tab/>
        <w:t>0___________________________</w:t>
      </w:r>
    </w:p>
    <w:p>
      <w:pPr>
        <w:pStyle w:val="BlockText"/>
        <w:rPr/>
      </w:pPr>
      <w:r>
        <w:rPr/>
        <w:tab/>
        <w:t>Name:</w:t>
        <w:tab/>
        <w:t>___________________________</w:t>
      </w:r>
    </w:p>
    <w:p>
      <w:pPr>
        <w:pStyle w:val="BlockText"/>
        <w:rPr/>
      </w:pPr>
      <w:r>
        <w:rPr/>
        <w:tab/>
        <w:t>Title:</w:t>
        <w:tab/>
        <w:t>___________________________</w:t>
      </w:r>
    </w:p>
    <w:p>
      <w:pPr>
        <w:pStyle w:val="BlockText"/>
        <w:rPr>
          <w:i/>
          <w:i/>
        </w:rPr>
      </w:pPr>
      <w:r>
        <w:rPr>
          <w:i/>
        </w:rPr>
        <w:t>In addition, the following acknowledgement should be added below the Party B signature block on the Cover Sheet:</w:t>
      </w:r>
    </w:p>
    <w:p>
      <w:pPr>
        <w:pStyle w:val="BlockText"/>
        <w:keepNext w:val="true"/>
        <w:keepLines/>
        <w:rPr/>
      </w:pPr>
      <w:r>
        <w:rPr/>
        <w:t>[Party B] hereby acknowledges and confirms (a) that Agent (as herein defined) is its duly authorized agent for all purposes of this Master Agreement and (b) its representations and warranties contained in Section 10.2(b).</w:t>
      </w:r>
    </w:p>
    <w:p>
      <w:pPr>
        <w:pStyle w:val="BlockText"/>
        <w:keepNext w:val="true"/>
        <w:keepLines/>
        <w:rPr/>
      </w:pPr>
      <w:r>
        <w:rPr/>
        <w:t>Party B Name</w:t>
      </w:r>
    </w:p>
    <w:p>
      <w:pPr>
        <w:pStyle w:val="BlockText"/>
        <w:keepNext w:val="true"/>
        <w:keepLines/>
        <w:rPr/>
      </w:pPr>
      <w:r>
        <w:rPr/>
        <w:t>By:</w:t>
        <w:tab/>
        <w:t>___________________________</w:t>
      </w:r>
    </w:p>
    <w:p>
      <w:pPr>
        <w:pStyle w:val="BlockText"/>
        <w:keepNext w:val="true"/>
        <w:keepLines/>
        <w:rPr/>
      </w:pPr>
      <w:r>
        <w:rPr/>
        <w:t>Name:</w:t>
        <w:tab/>
        <w:t>___________________________</w:t>
      </w:r>
    </w:p>
    <w:p>
      <w:pPr>
        <w:pStyle w:val="BlockText"/>
        <w:keepNext w:val="true"/>
        <w:keepLines/>
        <w:rPr/>
      </w:pPr>
      <w:r>
        <w:rPr/>
        <w:t>Title:</w:t>
        <w:tab/>
        <w:t>___________________________</w:t>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-95885</wp:posOffset>
                </wp:positionH>
                <wp:positionV relativeFrom="paragraph">
                  <wp:posOffset>26670</wp:posOffset>
                </wp:positionV>
                <wp:extent cx="6135370" cy="648970"/>
                <wp:effectExtent l="0" t="0" r="0" b="0"/>
                <wp:wrapNone/>
                <wp:docPr id="4" name="Frame4"/>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2.1pt;mso-position-vertical-relative:text;margin-left:-7.5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pStyle w:val="BodyText2"/>
        <w:rPr/>
      </w:pPr>
      <w:r>
        <w:rPr/>
      </w:r>
    </w:p>
    <w:p>
      <w:pPr>
        <w:pStyle w:val="BodyText2"/>
        <w:rPr/>
      </w:pPr>
      <w:r>
        <w:rPr/>
      </w:r>
    </w:p>
    <w:p>
      <w:pPr>
        <w:pStyle w:val="BodyText2"/>
        <w:rPr/>
      </w:pPr>
      <w:r>
        <w:rPr/>
      </w:r>
      <w:r>
        <w:br w:type="page"/>
      </w:r>
    </w:p>
    <w:p>
      <w:pPr>
        <w:pStyle w:val="BodyText2"/>
        <w:rPr/>
      </w:pPr>
      <w:r>
        <w:rPr/>
      </w:r>
    </w:p>
    <w:p>
      <w:pPr>
        <w:pStyle w:val="BodyText2"/>
        <w:rPr/>
      </w:pPr>
      <w:r>
        <w:rPr/>
      </w:r>
    </w:p>
    <w:p>
      <w:pPr>
        <w:pStyle w:val="Subtitle"/>
        <w:rPr>
          <w:u w:val="single"/>
        </w:rPr>
      </w:pPr>
      <w:r>
        <w:rPr>
          <w:u w:val="single"/>
        </w:rPr>
        <w:t>Optional Language for Transactions with Index-based pricing that addresses the possibility that an Index is altered or is no longer available</w:t>
      </w:r>
    </w:p>
    <w:p>
      <w:pPr>
        <w:pStyle w:val="BlockText"/>
        <w:rPr>
          <w:i/>
          <w:i/>
        </w:rPr>
      </w:pPr>
      <w:r>
        <w:rPr>
          <w:i/>
        </w:rPr>
        <w:t>The language set forth below would be appropriate for inclusion under the "Other Changes" section of the Cover Sheet if Transactions with index-based pricing are envisioned, and the parties desire to provide for an alternative basis for determining the Contract Price should the relevant index be substantially altered or no longer published.</w:t>
      </w:r>
    </w:p>
    <w:p>
      <w:pPr>
        <w:pStyle w:val="BlockText"/>
        <w:rPr>
          <w:b/>
          <w:u w:val="single"/>
        </w:rPr>
      </w:pPr>
      <w:r>
        <w:rPr>
          <w:b/>
          <w:u w:val="single"/>
        </w:rPr>
        <w:t>Other Changes</w:t>
      </w:r>
    </w:p>
    <w:p>
      <w:pPr>
        <w:pStyle w:val="BlockText"/>
        <w:rPr/>
      </w:pPr>
      <w:r>
        <w:rPr/>
        <w:t>Index Transactions.  If the Contract Price for a Transaction is determined by reference to a third-party information source, then the following provisions shall be applicable to such Transaction.</w:t>
      </w:r>
    </w:p>
    <w:p>
      <w:pPr>
        <w:pStyle w:val="Heading2"/>
        <w:numPr>
          <w:ilvl w:val="0"/>
          <w:numId w:val="12"/>
        </w:numPr>
        <w:ind w:hanging="0" w:start="0"/>
        <w:rPr/>
      </w:pPr>
      <w:r>
        <w:rPr/>
        <w:t>Market Disruption.  If a Market Disruption Event occurs during a Determination Period, the Floating Price for the affected Trading Day(s) shall be determined by reference to the Floating Price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the average of two dealer quotes obtained from dealers of the highest credit standing which satisfy all the criteria that the Seller applies generally at the time in deciding to offer or to make an extension of credit.</w:t>
      </w:r>
    </w:p>
    <w:p>
      <w:pPr>
        <w:pStyle w:val="BodyText3"/>
        <w:rPr/>
      </w:pPr>
      <w:r>
        <w:rPr/>
        <w:t>"</w:t>
      </w:r>
      <w:r>
        <w:rPr>
          <w:u w:val="single"/>
        </w:rPr>
        <w:t>Determination Period</w:t>
      </w:r>
      <w:r>
        <w:rPr/>
        <w:t>" means each calendar month a part or all of which is within the Delivery Period of a Transaction.</w:t>
      </w:r>
    </w:p>
    <w:p>
      <w:pPr>
        <w:pStyle w:val="BodyText3"/>
        <w:rPr/>
      </w:pPr>
      <w:r>
        <w:rPr/>
        <w:t>"</w:t>
      </w:r>
      <w:r>
        <w:rPr>
          <w:u w:val="single"/>
        </w:rPr>
        <w:t>Exchange</w:t>
      </w:r>
      <w:r>
        <w:rPr/>
        <w:t>" means, in respect of a Transaction, the exchange or principal trading market specified in the relevant Confirmation.</w:t>
      </w:r>
    </w:p>
    <w:p>
      <w:pPr>
        <w:pStyle w:val="BodyText3"/>
        <w:rPr/>
      </w:pPr>
      <w:r>
        <w:rPr/>
        <w:t>"</w:t>
      </w:r>
      <w:r>
        <w:rPr>
          <w:u w:val="single"/>
        </w:rPr>
        <w:t>Floating Price</w:t>
      </w:r>
      <w:r>
        <w:rPr/>
        <w:t>" means a Contract Price specified in a Transaction that is based upon a Price Source.</w:t>
      </w:r>
    </w:p>
    <w:p>
      <w:pPr>
        <w:pStyle w:val="BodyText3"/>
        <w:rPr/>
      </w:pPr>
      <w:r>
        <w:rPr/>
      </w:r>
    </w:p>
    <w:p>
      <w:pPr>
        <w:pStyle w:val="BodyText3"/>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-95885</wp:posOffset>
                </wp:positionH>
                <wp:positionV relativeFrom="paragraph">
                  <wp:posOffset>262890</wp:posOffset>
                </wp:positionV>
                <wp:extent cx="6135370" cy="648970"/>
                <wp:effectExtent l="0" t="0" r="0" b="0"/>
                <wp:wrapNone/>
                <wp:docPr id="5" name="Frame5"/>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20.7pt;mso-position-vertical-relative:text;margin-left:-7.5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pStyle w:val="BodyText3"/>
        <w:rPr/>
      </w:pPr>
      <w:r>
        <w:rPr/>
      </w:r>
    </w:p>
    <w:p>
      <w:pPr>
        <w:pStyle w:val="BodyText3"/>
        <w:rPr/>
      </w:pPr>
      <w:r>
        <w:rPr/>
      </w:r>
      <w:r>
        <w:br w:type="page"/>
      </w:r>
    </w:p>
    <w:p>
      <w:pPr>
        <w:pStyle w:val="BodyText3"/>
        <w:keepNext w:val="true"/>
        <w:keepLines/>
        <w:rPr/>
      </w:pPr>
      <w:r>
        <w:rPr/>
        <w:t>"</w:t>
      </w:r>
      <w:r>
        <w:rPr>
          <w:u w:val="single"/>
        </w:rPr>
        <w:t>Market Disruption Event</w:t>
      </w:r>
      <w:r>
        <w:rPr/>
        <w:t>" means, with respect to any Price Source, any of the following events (the existence of which shall be determined in good faith by the Seller):  (a) the failure of the Price Source to announce or publish the specified Floating Price or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BodyText3"/>
        <w:keepNext w:val="true"/>
        <w:keepLines/>
        <w:rPr/>
      </w:pPr>
      <w:r>
        <w:rPr/>
        <w:t>"</w:t>
      </w:r>
      <w:r>
        <w:rPr>
          <w:u w:val="single"/>
        </w:rPr>
        <w:t>Price Source</w:t>
      </w:r>
      <w:r>
        <w:rPr/>
        <w:t>" means, in respect of a Transaction, the publication (or such other origin of reference, including an Exchange) containing (or reporting) the specified price (or prices from which the specified price is calculated) specified in the relevant Confirmation.</w:t>
      </w:r>
    </w:p>
    <w:p>
      <w:pPr>
        <w:pStyle w:val="BodyText3"/>
        <w:rPr/>
      </w:pPr>
      <w:r>
        <w:rPr/>
        <w:t>"</w:t>
      </w:r>
      <w:r>
        <w:rPr>
          <w:u w:val="single"/>
        </w:rPr>
        <w:t>Trading Day</w:t>
      </w:r>
      <w:r>
        <w:rPr/>
        <w:t>" means a day in respect of which the relevant Price Source published the Floating Price.</w:t>
      </w:r>
    </w:p>
    <w:p>
      <w:pPr>
        <w:pStyle w:val="Heading2"/>
        <w:numPr>
          <w:ilvl w:val="0"/>
          <w:numId w:val="12"/>
        </w:numPr>
        <w:ind w:hanging="0" w:start="0"/>
        <w:rPr/>
      </w:pPr>
      <w:r>
        <w:rPr/>
        <w:t>Corrections to Published Prices.  For purposes of determining a Floating Price for any day, if the price published or announced on a given day and used or to be used to determine a relevant price is subsequently corrected and the correction is published or announced by the person responsible for that publication or announcement within thirty (30) days of the original publication or announcement, either Party may notify the other Party of (i) that correction and (ii) the amount (if any) that is payable as a result of that correction.  If, not later than thirty (30) days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Heading2"/>
        <w:numPr>
          <w:ilvl w:val="0"/>
          <w:numId w:val="12"/>
        </w:numPr>
        <w:ind w:hanging="0" w:start="0"/>
        <w:rPr/>
      </w:pPr>
      <w:r>
        <w:rPr/>
        <w:t>Calculation of Floating Price.  For the purposes of the calculation of a Floating Price,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p>
    <w:p>
      <w:pPr>
        <w:pStyle w:val="BodyText2"/>
        <w:rPr/>
      </w:pPr>
      <w:r>
        <w:rPr/>
      </w:r>
    </w:p>
    <w:p>
      <w:pPr>
        <w:pStyle w:val="BodyText2"/>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-95885</wp:posOffset>
                </wp:positionH>
                <wp:positionV relativeFrom="paragraph">
                  <wp:posOffset>80010</wp:posOffset>
                </wp:positionV>
                <wp:extent cx="6135370" cy="648970"/>
                <wp:effectExtent l="0" t="0" r="0" b="0"/>
                <wp:wrapNone/>
                <wp:docPr id="6" name="Frame6"/>
                <a:graphic xmlns:a="http://schemas.openxmlformats.org/drawingml/2006/main">
                  <a:graphicData uri="http://schemas.microsoft.com/office/word/2010/wordprocessingShape">
                    <wps:wsp>
                      <wps:cNvSpPr txBox="1"/>
                      <wps:spPr>
                        <a:xfrm>
                          <a:off x="0" y="0"/>
                          <a:ext cx="6135370" cy="648970"/>
                        </a:xfrm>
                        <a:prstGeom prst="rect"/>
                        <a:solidFill>
                          <a:srgbClr val="FFFFFF"/>
                        </a:solidFill>
                        <a:ln w="9525">
                          <a:solidFill>
                            <a:srgbClr val="000000"/>
                          </a:solidFill>
                        </a:ln>
                      </wps:spPr>
                      <wps:txb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51.1pt;mso-wrap-distance-left:9.05pt;mso-wrap-distance-right:9.05pt;mso-wrap-distance-top:0pt;mso-wrap-distance-bottom:0pt;margin-top:6.3pt;mso-position-vertical-relative:text;margin-left:-7.55pt;mso-position-horizontal-relative:text">
                <v:textbox>
                  <w:txbxContent>
                    <w:p>
                      <w:pPr>
                        <w:pStyle w:val="Normal"/>
                        <w:rPr>
                          <w:smallCaps/>
                        </w:rPr>
                      </w:pPr>
                      <w:r>
                        <w:rPr>
                          <w:smallCaps/>
                        </w:rPr>
                        <w:t>Market participants considering use of this or any similar provision are encouraged to consult their own legal counsel to ensure that their commercial objectives will be achieved and their legal rights and interests adequately protected.</w:t>
                      </w:r>
                    </w:p>
                  </w:txbxContent>
                </v:textbox>
                <w10:wrap type="none"/>
              </v:rect>
            </w:pict>
          </mc:Fallback>
        </mc:AlternateContent>
      </w:r>
    </w:p>
    <w:p>
      <w:pPr>
        <w:pStyle w:val="BlockText"/>
        <w:spacing w:before="0" w:after="24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NY-1178247v1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zzmpTrailerItem"/>
      </w:rPr>
      <w:t>NY-1178247v1</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NY-1178247v1</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zzmpTrailerItem"/>
      </w:rPr>
      <w:t>NY-1178247v1</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Draft of September 21, 2001</w:t>
    </w:r>
  </w:p>
  <w:p>
    <w:pPr>
      <w:pStyle w:val="Header"/>
      <w:jc w:val="end"/>
      <w:rPr>
        <w:u w:val="single"/>
      </w:rPr>
    </w:pPr>
    <w:r>
      <w:rPr>
        <w:u w:val="single"/>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Draft of September 21, 2001</w:t>
    </w:r>
  </w:p>
  <w:p>
    <w:pPr>
      <w:pStyle w:val="Header"/>
      <w:rPr>
        <w:u w:val="single"/>
      </w:rPr>
    </w:pPr>
    <w:r>
      <w:rPr>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Draft of September 21, 2001</w:t>
    </w:r>
  </w:p>
  <w:p>
    <w:pPr>
      <w:pStyle w:val="Header"/>
      <w:jc w:val="end"/>
      <w:rPr>
        <w:u w:val="single"/>
      </w:rPr>
    </w:pPr>
    <w:r>
      <w:rPr>
        <w:u w:val="single"/>
      </w:rPr>
    </w:r>
  </w:p>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Draft of September 21, 2001</w:t>
    </w:r>
  </w:p>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color w:val="auto"/>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abstractNum w:abstractNumId="12">
    <w:lvl w:ilvl="0">
      <w:start w:val="1"/>
      <w:numFmt w:val="lowerLetter"/>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MPDocID" w:val="::ODMA\PCDOCS\NY\1178247\1"/>
    <w:docVar w:name="NewDocStampType" w:val="1"/>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style>
  <w:style w:type="paragraph" w:styleId="Heading2">
    <w:name w:val="heading 2"/>
    <w:basedOn w:val="Normal"/>
    <w:next w:val="BodyText"/>
    <w:qFormat/>
    <w:pPr>
      <w:keepNext w:val="true"/>
      <w:numPr>
        <w:ilvl w:val="0"/>
        <w:numId w:val="12"/>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caps/>
    </w:rPr>
  </w:style>
  <w:style w:type="paragraph" w:styleId="BodyText">
    <w:name w:val="Body Text"/>
    <w:basedOn w:val="Normal"/>
    <w:pPr>
      <w:spacing w:before="0" w:after="240"/>
      <w:ind w:firstLine="720" w:start="72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240"/>
    </w:pPr>
    <w:rPr/>
  </w:style>
  <w:style w:type="paragraph" w:styleId="BodyText2">
    <w:name w:val="Body Text 2"/>
    <w:basedOn w:val="Normal"/>
    <w:qFormat/>
    <w:pPr>
      <w:ind w:firstLine="1152" w:start="720" w:end="720"/>
    </w:pPr>
    <w:rPr/>
  </w:style>
  <w:style w:type="paragraph" w:styleId="BodyText3">
    <w:name w:val="Body Text 3"/>
    <w:basedOn w:val="Normal"/>
    <w:qFormat/>
    <w:pPr>
      <w:spacing w:before="0" w:after="240"/>
      <w:ind w:hanging="0" w:start="720" w:end="1152"/>
    </w:pPr>
    <w:rPr/>
  </w:style>
  <w:style w:type="paragraph" w:styleId="BodyTextFirstIndent">
    <w:name w:val="Body Text First Indent"/>
    <w:basedOn w:val="Normal"/>
    <w:qFormat/>
    <w:pPr>
      <w:spacing w:before="0" w:after="240"/>
      <w:ind w:hanging="0" w:start="1440" w:end="1152"/>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51">
    <w:name w:val="List Bullet 51"/>
    <w:basedOn w:val="Normal"/>
    <w:qFormat/>
    <w:pPr>
      <w:numPr>
        <w:ilvl w:val="0"/>
        <w:numId w:val="6"/>
      </w:numPr>
    </w:pPr>
    <w:rPr/>
  </w:style>
  <w:style w:type="paragraph" w:styleId="ListBullet41">
    <w:name w:val="List Bullet 41"/>
    <w:basedOn w:val="Normal"/>
    <w:qFormat/>
    <w:pPr>
      <w:numPr>
        <w:ilvl w:val="0"/>
        <w:numId w:val="7"/>
      </w:numPr>
    </w:pPr>
    <w:rPr/>
  </w:style>
  <w:style w:type="paragraph" w:styleId="PlainText">
    <w:name w:val="Plain Text"/>
    <w:basedOn w:val="Normal"/>
    <w:qFormat/>
    <w:pPr/>
    <w:rPr>
      <w:sz w:val="20"/>
    </w:rPr>
  </w:style>
  <w:style w:type="paragraph" w:styleId="Signature">
    <w:name w:val="Signature"/>
    <w:basedOn w:val="Normal"/>
    <w:pPr>
      <w:tabs>
        <w:tab w:val="clear" w:pos="720"/>
        <w:tab w:val="right" w:pos="9360" w:leader="underscore"/>
      </w:tabs>
      <w:ind w:hanging="0" w:start="4680" w:end="0"/>
    </w:pPr>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360"/>
      <w:ind w:firstLine="1440" w:start="0" w:end="0"/>
    </w:pPr>
    <w:rPr/>
  </w:style>
  <w:style w:type="paragraph" w:styleId="ListNumber5">
    <w:name w:val="List Number 5"/>
    <w:basedOn w:val="Normal"/>
    <w:qFormat/>
    <w:pPr>
      <w:numPr>
        <w:ilvl w:val="0"/>
        <w:numId w:val="2"/>
      </w:numPr>
    </w:pPr>
    <w:rPr/>
  </w:style>
  <w:style w:type="paragraph" w:styleId="Quote">
    <w:name w:val="Quote"/>
    <w:basedOn w:val="Normal"/>
    <w:next w:val="BodyText"/>
    <w:qFormat/>
    <w:pPr>
      <w:spacing w:before="0" w:after="240"/>
      <w:ind w:hanging="0" w:start="1440" w:end="144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8"/>
      </w:numPr>
    </w:pPr>
    <w:rPr/>
  </w:style>
  <w:style w:type="paragraph" w:styleId="ListBullet21">
    <w:name w:val="List Bullet 21"/>
    <w:basedOn w:val="Normal"/>
    <w:qFormat/>
    <w:pPr>
      <w:numPr>
        <w:ilvl w:val="0"/>
        <w:numId w:val="9"/>
      </w:numPr>
    </w:pPr>
    <w:rPr/>
  </w:style>
  <w:style w:type="paragraph" w:styleId="ListBullet">
    <w:name w:val="List Bullet"/>
    <w:basedOn w:val="Normal"/>
    <w:qFormat/>
    <w:pPr>
      <w:numPr>
        <w:ilvl w:val="0"/>
        <w:numId w:val="11"/>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4">
    <w:name w:val="List Number 4"/>
    <w:basedOn w:val="Normal"/>
    <w:qFormat/>
    <w:pPr>
      <w:numPr>
        <w:ilvl w:val="0"/>
        <w:numId w:val="3"/>
      </w:numPr>
    </w:pPr>
    <w:rPr/>
  </w:style>
  <w:style w:type="paragraph" w:styleId="ListNumber3">
    <w:name w:val="List Number 3"/>
    <w:basedOn w:val="Normal"/>
    <w:qFormat/>
    <w:pPr>
      <w:numPr>
        <w:ilvl w:val="0"/>
        <w:numId w:val="4"/>
      </w:numPr>
    </w:pPr>
    <w:rPr/>
  </w:style>
  <w:style w:type="paragraph" w:styleId="ListNumber2">
    <w:name w:val="List Number 2"/>
    <w:basedOn w:val="Normal"/>
    <w:qFormat/>
    <w:pPr>
      <w:numPr>
        <w:ilvl w:val="0"/>
        <w:numId w:val="5"/>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ListNumber">
    <w:name w:val="List Number"/>
    <w:basedOn w:val="Normal"/>
    <w:qFormat/>
    <w:pPr>
      <w:numPr>
        <w:ilvl w:val="0"/>
        <w:numId w:val="10"/>
      </w:numPr>
    </w:pPr>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2001-09-21T13:50:00Z</dcterms:created>
  <dc:creator>Registered User</dc:creator>
  <dc:description/>
  <dc:language>en-CA</dc:language>
  <cp:lastModifiedBy>Registered User</cp:lastModifiedBy>
  <cp:lastPrinted>2001-09-21T16:58:00Z</cp:lastPrinted>
  <dcterms:modified xsi:type="dcterms:W3CDTF">2001-09-21T18:28:00Z</dcterms:modified>
  <cp:revision>29</cp:revision>
  <dc:subject/>
  <dc:title>Optional Language</dc:title>
</cp:coreProperties>
</file>