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jc w:val="end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-822960</wp:posOffset>
                </wp:positionH>
                <wp:positionV relativeFrom="paragraph">
                  <wp:posOffset>228600</wp:posOffset>
                </wp:positionV>
                <wp:extent cx="91440" cy="91440"/>
                <wp:effectExtent l="5080" t="5080" r="5715" b="571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blipFill rotWithShape="0">
                          <a:blip r:embed="rId2"/>
                          <a:tile tx="0" ty="0" sx="100000" sy="100000" algn="ctr"/>
                        </a:blip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0000,20000" path="m0,0l0,20000l20000,20000l20000,0l0,0e" stroked="t" o:allowincell="f" style="position:absolute;margin-left:-64.8pt;margin-top:18pt;width:7.15pt;height:7.15pt;mso-wrap-style:none;v-text-anchor:middle">
                <v:fill r:id="rId3" o:detectmouseclick="t" type="tile" color2="black"/>
                <v:stroke color="white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jc w:val="end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sz w:val="24"/>
        </w:rPr>
      </w:pPr>
      <w:r>
        <w:rPr>
          <w:sz w:val="24"/>
        </w:rPr>
      </w:r>
    </w:p>
    <w:tbl>
      <w:tblPr>
        <w:tblW w:w="936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[Letterhead of GE]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GE Packaged Power, Inc.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2707 North Loop West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Houston, TX 77008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Acknowledgment of Receipt of Funds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/>
      </w:pPr>
      <w:r>
        <w:rPr/>
        <w:t>                                          </w:t>
      </w:r>
      <w:r>
        <w:rPr>
          <w:rFonts w:cs="Times New Roman" w:ascii="Times New Roman" w:hAnsi="Times New Roman"/>
          <w:sz w:val="24"/>
        </w:rPr>
        <w:t>, 2001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each of the Purchasers party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the Note Purchase Agreement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referred to below and the Initial Purchaser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under the Unit Purchase Agreement referred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below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Ladies and Gentleman:</w:t>
      </w:r>
    </w:p>
    <w:p>
      <w:pPr>
        <w:pStyle w:val="BodyText"/>
        <w:rPr/>
      </w:pPr>
      <w:r>
        <w:rPr>
          <w:rFonts w:cs="Times New Roman" w:ascii="Times New Roman" w:hAnsi="Times New Roman"/>
          <w:sz w:val="24"/>
        </w:rPr>
        <w:t xml:space="preserve">Reference is made to (i) the Note Purchase Agreement dated as of April 26, 2001 (the </w:t>
      </w:r>
      <w:r>
        <w:rPr>
          <w:rFonts w:cs="Times New Roman" w:ascii="Times New Roman" w:hAnsi="Times New Roman"/>
          <w:b/>
          <w:bCs/>
          <w:i/>
          <w:iCs/>
          <w:sz w:val="24"/>
        </w:rPr>
        <w:t xml:space="preserve">Note </w:t>
      </w:r>
      <w:r>
        <w:rPr>
          <w:rFonts w:cs="Times New Roman" w:ascii="Times New Roman" w:hAnsi="Times New Roman"/>
          <w:b/>
          <w:i/>
          <w:sz w:val="24"/>
        </w:rPr>
        <w:t>Purchase Agreement</w:t>
      </w:r>
      <w:r>
        <w:rPr>
          <w:rFonts w:cs="Times New Roman" w:ascii="Times New Roman" w:hAnsi="Times New Roman"/>
          <w:sz w:val="24"/>
        </w:rPr>
        <w:t xml:space="preserve">) between Pegasus Power Partners, LLC and the Purchasers party thereto and (ii) the Unit Purchase Agreement dated as of April 26, 2001 (the </w:t>
      </w:r>
      <w:r>
        <w:rPr>
          <w:rFonts w:cs="Times New Roman" w:ascii="Times New Roman" w:hAnsi="Times New Roman"/>
          <w:b/>
          <w:bCs/>
          <w:i/>
          <w:iCs/>
          <w:sz w:val="24"/>
        </w:rPr>
        <w:t>Unit Purchase Agreement</w:t>
      </w:r>
      <w:r>
        <w:rPr>
          <w:rFonts w:cs="Times New Roman" w:ascii="Times New Roman" w:hAnsi="Times New Roman"/>
          <w:sz w:val="24"/>
        </w:rPr>
        <w:t>) between Pegasus Power Partners, LLC and the Initial Purchaser party thereto</w:t>
      </w:r>
      <w:r>
        <w:rPr>
          <w:rFonts w:cs="Times New Roman" w:ascii="Times New Roman" w:hAnsi="Times New Roman"/>
          <w:i/>
          <w:iCs/>
          <w:sz w:val="24"/>
        </w:rPr>
        <w:t>.</w:t>
      </w:r>
      <w:r>
        <w:rPr>
          <w:rFonts w:cs="Times New Roman" w:ascii="Times New Roman" w:hAnsi="Times New Roman"/>
          <w:sz w:val="24"/>
        </w:rPr>
        <w:t xml:space="preserve">  Capitalized terms used but not defined herein have the respective meanings given to such terms in the Note Purchase Agreement.  GE Packaged Power, Inc. (the </w:t>
      </w:r>
      <w:r>
        <w:rPr>
          <w:rFonts w:cs="Times New Roman" w:ascii="Times New Roman" w:hAnsi="Times New Roman"/>
          <w:b/>
          <w:bCs/>
          <w:i/>
          <w:iCs/>
          <w:sz w:val="24"/>
        </w:rPr>
        <w:t>GE Packaged Power</w:t>
      </w:r>
      <w:r>
        <w:rPr>
          <w:rFonts w:cs="Times New Roman" w:ascii="Times New Roman" w:hAnsi="Times New Roman"/>
          <w:sz w:val="24"/>
        </w:rPr>
        <w:t>) has requested that the amount of $50,234,000 for all payments due under the Turbine Contract be wired to the following account.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GE Packaged Power, Inc.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Acount#00-388615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Bankers Trust Company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ABA #021001033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SWIFT: BKTRUS33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By its signature hereto, GE Packaged Power acknowledges (i) receipt of $50,234,000 on the date hereof and (ii) that all amounts due and payable to GE Packaged Power under the Turbine Contract have been paid in full.</w:t>
      </w:r>
    </w:p>
    <w:p>
      <w:pPr>
        <w:pStyle w:val="a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a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936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504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RECEIPT OF FUNDS ACKNOWLEDGED: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ab/>
        <w:tab/>
        <w:tab/>
        <w:tab/>
        <w:tab/>
        <w:t>GE PACKAGED POWER, INC.</w:t>
      </w:r>
    </w:p>
    <w:p>
      <w:pPr>
        <w:pStyle w:val="BodyText"/>
        <w:ind w:start="49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49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</w:t>
        <w:br/>
        <w:t>By:</w:t>
        <w:br/>
        <w:t>Name:</w:t>
        <w:br/>
        <w:t>Title:</w:t>
      </w:r>
      <w:r>
        <w:br w:type="page"/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JOHN HANCOCK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JOHN HANCOCK VARIABLE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ARCLIGHT ENERGY PARTNERS FUND I, L.P.</w:t>
        <w:br/>
        <w:t>(as Initial Purchaser under the Unit Purchase Agreement)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</w:t>
        <w:br/>
        <w:t>By:</w:t>
        <w:br/>
        <w:t>Name:</w:t>
        <w:br/>
        <w:t>Title:</w:t>
      </w:r>
    </w:p>
    <w:sectPr>
      <w:footerReference w:type="default" r:id="rId4"/>
      <w:footerReference w:type="first" r:id="rId5"/>
      <w:type w:val="nextPage"/>
      <w:pgSz w:w="12240" w:h="15840"/>
      <w:pgMar w:left="1800" w:right="1800" w:gutter="0" w:header="0" w:top="144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mbo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NY003701281.DOC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6+</w:t>
    </w:r>
    <w:r>
      <w:rPr/>
      <w:fldChar w:fldCharType="end"/>
    </w:r>
    <w:r>
      <w:rPr/>
      <w:t xml:space="preserve">  (117784-0001)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NY003701281.DOC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6+</w:t>
    </w:r>
    <w:r>
      <w:rPr/>
      <w:fldChar w:fldCharType="end"/>
    </w:r>
    <w:r>
      <w:rPr/>
      <w:t xml:space="preserve">  (117784-0001)</w:t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FFLANGUAGE" w:val="English (US)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embo" w:hAnsi="Bembo" w:eastAsia="Times New Roman" w:cs="Bembo"/>
      <w:color w:val="auto"/>
      <w:sz w:val="26"/>
      <w:szCs w:val="20"/>
      <w:lang w:val="en-GB" w:bidi="ar-SA" w:eastAsia="zh-CN"/>
    </w:rPr>
  </w:style>
  <w:style w:type="paragraph" w:styleId="Heading1">
    <w:name w:val="heading 1"/>
    <w:basedOn w:val="BodyText"/>
    <w:next w:val="BodyText"/>
    <w:qFormat/>
    <w:pPr>
      <w:keepNext w:val="true"/>
      <w:keepLines/>
      <w:numPr>
        <w:ilvl w:val="0"/>
        <w:numId w:val="1"/>
      </w:numPr>
      <w:jc w:val="start"/>
      <w:outlineLvl w:val="0"/>
    </w:pPr>
    <w:rPr>
      <w:b/>
      <w:caps/>
    </w:rPr>
  </w:style>
  <w:style w:type="paragraph" w:styleId="Heading2">
    <w:name w:val="heading 2"/>
    <w:basedOn w:val="BodyText"/>
    <w:next w:val="BodyText"/>
    <w:qFormat/>
    <w:pPr>
      <w:keepNext w:val="true"/>
      <w:keepLines/>
      <w:numPr>
        <w:ilvl w:val="1"/>
        <w:numId w:val="1"/>
      </w:numPr>
      <w:jc w:val="start"/>
      <w:outlineLvl w:val="1"/>
    </w:pPr>
    <w:rPr>
      <w:b/>
      <w:smallCaps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0" w:after="240"/>
      <w:outlineLvl w:val="2"/>
    </w:pPr>
    <w:rPr>
      <w:b/>
    </w:rPr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outlineLvl w:val="3"/>
    </w:pPr>
    <w:rPr>
      <w:caps/>
    </w:rPr>
  </w:style>
  <w:style w:type="paragraph" w:styleId="Heading5">
    <w:name w:val="heading 5"/>
    <w:basedOn w:val="BodyText"/>
    <w:next w:val="BodyText"/>
    <w:qFormat/>
    <w:pPr>
      <w:keepNext w:val="true"/>
      <w:numPr>
        <w:ilvl w:val="4"/>
        <w:numId w:val="1"/>
      </w:numPr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Heading6"/>
    <w:next w:val="BodyText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7"/>
    <w:next w:val="BodyText"/>
    <w:qFormat/>
    <w:pPr>
      <w:numPr>
        <w:ilvl w:val="7"/>
        <w:numId w:val="1"/>
      </w:numPr>
      <w:outlineLvl w:val="7"/>
    </w:pPr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8"/>
      <w:vertAlign w:val="superscript"/>
    </w:rPr>
  </w:style>
  <w:style w:type="character" w:styleId="FootnoteCharacters">
    <w:name w:val="Footnote Characters"/>
    <w:basedOn w:val="DefaultParagraphFont"/>
    <w:qFormat/>
    <w:rPr>
      <w:rFonts w:ascii="Bembo" w:hAnsi="Bembo" w:cs="Bembo"/>
      <w:sz w:val="18"/>
      <w:vertAlign w:val="superscript"/>
    </w:rPr>
  </w:style>
  <w:style w:type="character" w:styleId="PageNumber">
    <w:name w:val="page number"/>
    <w:basedOn w:val="DefaultParagraphFont"/>
    <w:rPr/>
  </w:style>
  <w:style w:type="character" w:styleId="zzmpTrailerItem">
    <w:name w:val="zzmpTrailerItem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>
      <w:spacing w:lineRule="exact" w:line="180" w:before="0" w:after="120"/>
      <w:ind w:firstLine="360" w:start="360" w:end="0"/>
    </w:pPr>
    <w:rPr>
      <w:sz w:val="18"/>
    </w:rPr>
  </w:style>
  <w:style w:type="paragraph" w:styleId="TOC3">
    <w:name w:val="toc 3"/>
    <w:basedOn w:val="BodyText"/>
    <w:next w:val="BodyText"/>
    <w:pPr>
      <w:numPr>
        <w:ilvl w:val="0"/>
        <w:numId w:val="2"/>
      </w:numPr>
      <w:tabs>
        <w:tab w:val="clear" w:pos="720"/>
        <w:tab w:val="right" w:pos="8309" w:leader="dot"/>
      </w:tabs>
      <w:spacing w:before="0" w:after="0"/>
      <w:ind w:hanging="0" w:start="432" w:end="0"/>
      <w:jc w:val="start"/>
    </w:pPr>
    <w:rPr/>
  </w:style>
  <w:style w:type="paragraph" w:styleId="TOC8">
    <w:name w:val="toc 8"/>
    <w:basedOn w:val="TOC3"/>
    <w:pPr/>
    <w:rPr/>
  </w:style>
  <w:style w:type="paragraph" w:styleId="TOC7">
    <w:name w:val="toc 7"/>
    <w:basedOn w:val="TOC3"/>
    <w:pPr/>
    <w:rPr/>
  </w:style>
  <w:style w:type="paragraph" w:styleId="TOC6">
    <w:name w:val="toc 6"/>
    <w:basedOn w:val="TOC3"/>
    <w:pPr/>
    <w:rPr/>
  </w:style>
  <w:style w:type="paragraph" w:styleId="TOC5">
    <w:name w:val="toc 5"/>
    <w:basedOn w:val="TOC3"/>
    <w:pPr>
      <w:numPr>
        <w:ilvl w:val="0"/>
        <w:numId w:val="3"/>
      </w:numPr>
      <w:spacing w:before="120" w:after="120"/>
      <w:ind w:hanging="0" w:start="0" w:end="0"/>
    </w:pPr>
    <w:rPr>
      <w:caps/>
    </w:rPr>
  </w:style>
  <w:style w:type="paragraph" w:styleId="TOC4">
    <w:name w:val="toc 4"/>
    <w:basedOn w:val="BodyText"/>
    <w:next w:val="BodyText"/>
    <w:pPr>
      <w:numPr>
        <w:ilvl w:val="0"/>
        <w:numId w:val="4"/>
      </w:numPr>
      <w:tabs>
        <w:tab w:val="clear" w:pos="720"/>
        <w:tab w:val="right" w:pos="8063" w:leader="dot"/>
      </w:tabs>
      <w:ind w:hanging="0" w:start="720" w:end="0"/>
      <w:jc w:val="start"/>
    </w:pPr>
    <w:rPr/>
  </w:style>
  <w:style w:type="paragraph" w:styleId="TOC2">
    <w:name w:val="toc 2"/>
    <w:basedOn w:val="BodyText"/>
    <w:next w:val="BodyText"/>
    <w:pPr>
      <w:numPr>
        <w:ilvl w:val="0"/>
        <w:numId w:val="5"/>
      </w:numPr>
      <w:tabs>
        <w:tab w:val="clear" w:pos="720"/>
        <w:tab w:val="right" w:pos="8309" w:leader="dot"/>
      </w:tabs>
      <w:spacing w:before="120" w:after="120"/>
      <w:ind w:hanging="432" w:start="432" w:end="0"/>
      <w:jc w:val="start"/>
    </w:pPr>
    <w:rPr>
      <w:smallCaps/>
    </w:rPr>
  </w:style>
  <w:style w:type="paragraph" w:styleId="TOC1">
    <w:name w:val="toc 1"/>
    <w:basedOn w:val="BodyText"/>
    <w:next w:val="BodyText"/>
    <w:pPr>
      <w:keepNext w:val="true"/>
      <w:numPr>
        <w:ilvl w:val="0"/>
        <w:numId w:val="6"/>
      </w:numPr>
      <w:tabs>
        <w:tab w:val="clear" w:pos="720"/>
        <w:tab w:val="right" w:pos="8063" w:leader="dot"/>
      </w:tabs>
      <w:spacing w:before="120" w:after="120"/>
      <w:jc w:val="start"/>
    </w:pPr>
    <w:rPr>
      <w:caps/>
    </w:rPr>
  </w:style>
  <w:style w:type="paragraph" w:styleId="Index1">
    <w:name w:val="index 1"/>
    <w:basedOn w:val="Normal"/>
    <w:next w:val="Normal"/>
    <w:pPr/>
    <w:rPr/>
  </w:style>
  <w:style w:type="paragraph" w:styleId="IndexHeading">
    <w:name w:val="index heading"/>
    <w:basedOn w:val="Normal"/>
    <w:next w:val="Index1"/>
    <w:pPr>
      <w:spacing w:before="0" w:after="480"/>
      <w:jc w:val="center"/>
    </w:pPr>
    <w:rPr>
      <w:b/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right" w:pos="8280" w:leader="none"/>
      </w:tabs>
    </w:pPr>
    <w:rPr>
      <w:sz w:val="18"/>
    </w:rPr>
  </w:style>
  <w:style w:type="paragraph" w:styleId="Header">
    <w:name w:val="header"/>
    <w:basedOn w:val="Normal"/>
    <w:pPr>
      <w:tabs>
        <w:tab w:val="clear" w:pos="720"/>
        <w:tab w:val="right" w:pos="8280" w:leader="none"/>
      </w:tabs>
    </w:pPr>
    <w:rPr>
      <w:sz w:val="18"/>
    </w:rPr>
  </w:style>
  <w:style w:type="paragraph" w:styleId="FootnoteText">
    <w:name w:val="footnote text"/>
    <w:basedOn w:val="BodyText"/>
    <w:pPr>
      <w:spacing w:before="0" w:after="120"/>
      <w:ind w:hanging="187" w:start="187" w:end="0"/>
    </w:pPr>
    <w:rPr>
      <w:sz w:val="22"/>
    </w:rPr>
  </w:style>
  <w:style w:type="paragraph" w:styleId="NormalIndent">
    <w:name w:val="Normal Indent"/>
    <w:basedOn w:val="Normal"/>
    <w:qFormat/>
    <w:pPr>
      <w:spacing w:before="0" w:after="240"/>
    </w:pPr>
    <w:rPr/>
  </w:style>
  <w:style w:type="paragraph" w:styleId="a">
    <w:name w:val="(a)"/>
    <w:basedOn w:val="BodyText"/>
    <w:qFormat/>
    <w:pPr>
      <w:ind w:hanging="720" w:start="720" w:end="0"/>
    </w:pPr>
    <w:rPr/>
  </w:style>
  <w:style w:type="paragraph" w:styleId="i">
    <w:name w:val="(i)"/>
    <w:basedOn w:val="a"/>
    <w:qFormat/>
    <w:pPr>
      <w:tabs>
        <w:tab w:val="clear" w:pos="720"/>
        <w:tab w:val="right" w:pos="1296" w:leader="none"/>
      </w:tabs>
      <w:ind w:hanging="1440" w:start="1440" w:end="0"/>
    </w:pPr>
    <w:rPr/>
  </w:style>
  <w:style w:type="paragraph" w:styleId="indexhead2">
    <w:name w:val="index head2"/>
    <w:basedOn w:val="BodyText"/>
    <w:qFormat/>
    <w:pPr>
      <w:tabs>
        <w:tab w:val="clear" w:pos="720"/>
        <w:tab w:val="right" w:pos="8301" w:leader="none"/>
      </w:tabs>
    </w:pPr>
    <w:rPr>
      <w:b/>
    </w:rPr>
  </w:style>
  <w:style w:type="paragraph" w:styleId="ParaHeading">
    <w:name w:val="ParaHeading"/>
    <w:basedOn w:val="BodyText"/>
    <w:next w:val="BodyText"/>
    <w:qFormat/>
    <w:pPr>
      <w:keepNext w:val="true"/>
      <w:jc w:val="start"/>
    </w:pPr>
    <w:rPr>
      <w:b/>
    </w:rPr>
  </w:style>
  <w:style w:type="paragraph" w:styleId="A1">
    <w:name w:val="A"/>
    <w:basedOn w:val="a"/>
    <w:qFormat/>
    <w:pPr>
      <w:ind w:hanging="432" w:start="1872" w:end="0"/>
    </w:pPr>
    <w:rPr/>
  </w:style>
  <w:style w:type="paragraph" w:styleId="Sealing">
    <w:name w:val="Sealing"/>
    <w:basedOn w:val="BodyText"/>
    <w:qFormat/>
    <w:pPr>
      <w:keepLines/>
      <w:tabs>
        <w:tab w:val="clear" w:pos="720"/>
        <w:tab w:val="left" w:pos="1728" w:leader="none"/>
        <w:tab w:val="left" w:pos="4320" w:leader="none"/>
      </w:tabs>
      <w:spacing w:before="0" w:after="480"/>
      <w:jc w:val="start"/>
    </w:pPr>
    <w:rPr/>
  </w:style>
  <w:style w:type="paragraph" w:styleId="footer2">
    <w:name w:val="footer2"/>
    <w:basedOn w:val="Footer"/>
    <w:qFormat/>
    <w:pPr>
      <w:tabs>
        <w:tab w:val="clear" w:pos="8280"/>
        <w:tab w:val="right" w:pos="8064" w:leader="none"/>
      </w:tabs>
    </w:pPr>
    <w:rPr/>
  </w:style>
  <w:style w:type="paragraph" w:styleId="pmf">
    <w:name w:val="pmf"/>
    <w:basedOn w:val="BodyText"/>
    <w:qFormat/>
    <w:pPr/>
    <w:rPr/>
  </w:style>
  <w:style w:type="paragraph" w:styleId="Yourref">
    <w:name w:val="Yourref"/>
    <w:basedOn w:val="Normal"/>
    <w:next w:val="Date"/>
    <w:qFormat/>
    <w:pPr>
      <w:tabs>
        <w:tab w:val="clear" w:pos="720"/>
        <w:tab w:val="left" w:pos="1440" w:leader="none"/>
      </w:tabs>
      <w:spacing w:before="0" w:after="840"/>
      <w:jc w:val="end"/>
    </w:pPr>
    <w:rPr>
      <w:sz w:val="18"/>
    </w:rPr>
  </w:style>
  <w:style w:type="paragraph" w:styleId="Date">
    <w:name w:val="Date"/>
    <w:basedOn w:val="Normal"/>
    <w:qFormat/>
    <w:pPr>
      <w:spacing w:before="0" w:after="240"/>
      <w:jc w:val="end"/>
    </w:pPr>
    <w:rPr/>
  </w:style>
  <w:style w:type="paragraph" w:styleId="Yours">
    <w:name w:val="Yours"/>
    <w:basedOn w:val="BodyText"/>
    <w:next w:val="Author"/>
    <w:qFormat/>
    <w:pPr>
      <w:keepNext w:val="true"/>
      <w:spacing w:before="0" w:after="1200"/>
    </w:pPr>
    <w:rPr/>
  </w:style>
  <w:style w:type="paragraph" w:styleId="ys">
    <w:name w:val="ys"/>
    <w:basedOn w:val="Yours"/>
    <w:next w:val="Author"/>
    <w:qFormat/>
    <w:pPr>
      <w:spacing w:before="0" w:after="240"/>
    </w:pPr>
    <w:rPr/>
  </w:style>
  <w:style w:type="paragraph" w:styleId="Author">
    <w:name w:val="Author"/>
    <w:basedOn w:val="ys"/>
    <w:qFormat/>
    <w:pPr>
      <w:spacing w:before="0" w:after="0"/>
    </w:pPr>
    <w:rPr/>
  </w:style>
  <w:style w:type="paragraph" w:styleId="Ourref">
    <w:name w:val="Ourref"/>
    <w:basedOn w:val="Normal"/>
    <w:next w:val="Y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</w:rPr>
  </w:style>
  <w:style w:type="paragraph" w:styleId="Address">
    <w:name w:val="Address"/>
    <w:basedOn w:val="BodyText"/>
    <w:qFormat/>
    <w:pPr>
      <w:spacing w:before="0" w:after="720"/>
      <w:jc w:val="start"/>
    </w:pPr>
    <w:rPr/>
  </w:style>
  <w:style w:type="paragraph" w:styleId="DirectDial">
    <w:name w:val="Direct Dial"/>
    <w:basedOn w:val="Normal"/>
    <w:next w:val="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</w:rPr>
  </w:style>
  <w:style w:type="paragraph" w:styleId="Dear">
    <w:name w:val="Dear"/>
    <w:basedOn w:val="Normal"/>
    <w:next w:val="BodyText"/>
    <w:qFormat/>
    <w:pPr>
      <w:spacing w:before="0" w:after="240"/>
      <w:jc w:val="both"/>
    </w:pPr>
    <w:rPr/>
  </w:style>
  <w:style w:type="paragraph" w:styleId="EnvelopeAddress">
    <w:name w:val="envelope address"/>
    <w:basedOn w:val="Normal"/>
    <w:qFormat/>
    <w:pPr>
      <w:keepNext w:val="true"/>
      <w:keepLines/>
      <w:ind w:hanging="0" w:start="2880" w:end="0"/>
    </w:pPr>
    <w:rPr/>
  </w:style>
  <w:style w:type="paragraph" w:styleId="ByHand">
    <w:name w:val="ByHand"/>
    <w:basedOn w:val="BodyText"/>
    <w:next w:val="Address"/>
    <w:qFormat/>
    <w:pPr>
      <w:spacing w:before="0" w:after="0"/>
      <w:jc w:val="start"/>
    </w:pPr>
    <w:rPr/>
  </w:style>
  <w:style w:type="paragraph" w:styleId="MarginalNote">
    <w:name w:val="Marginal Note"/>
    <w:basedOn w:val="BodyText"/>
    <w:next w:val="BodyText"/>
    <w:qFormat/>
    <w:pPr>
      <w:keepNext w:val="true"/>
      <w:keepLines/>
      <w:spacing w:lineRule="exact" w:line="180" w:before="40" w:after="0"/>
      <w:jc w:val="start"/>
    </w:pPr>
    <w:rPr>
      <w:b/>
      <w:sz w:val="18"/>
    </w:rPr>
  </w:style>
  <w:style w:type="paragraph" w:styleId="TOC9">
    <w:name w:val="toc 9"/>
    <w:basedOn w:val="TOC3"/>
    <w:next w:val="Normal"/>
    <w:pPr/>
    <w:rPr/>
  </w:style>
  <w:style w:type="paragraph" w:styleId="Label">
    <w:name w:val="Label"/>
    <w:basedOn w:val="BodyText"/>
    <w:qFormat/>
    <w:pPr>
      <w:spacing w:before="240" w:after="120"/>
      <w:ind w:hanging="0" w:start="284" w:end="0"/>
      <w:jc w:val="start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AME-FRE-AME-DOC.DOT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2001-04-25T10:49:00Z</dcterms:created>
  <dc:creator>Duran, Jennifer</dc:creator>
  <dc:description>CURRY, ALICIAÿþNEW YORKýCIBC OPPENHEIMER CORP                                                           üûúùDocumentsøNY÷Triton Partners CBOöõGENERAL USERSôSTANDARDó19òFF-UDOC.DOTñ</dc:description>
  <cp:keywords>109489-0001</cp:keywords>
  <dc:language>en-CA</dc:language>
  <cp:lastModifiedBy>Freshfields Bruckhaus Deringer LLP</cp:lastModifiedBy>
  <cp:lastPrinted>2001-04-25T02:48:00Z</cp:lastPrinted>
  <dcterms:modified xsi:type="dcterms:W3CDTF">2001-04-25T10:55:00Z</dcterms:modified>
  <cp:revision>3</cp:revision>
  <dc:subject>6+</dc:subject>
  <dc:title>ISSUER CERTIFICATE - 3.1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View Info">
    <vt:lpwstr>ClearView~NY003701281~~117784-0001~</vt:lpwstr>
  </property>
  <property fmtid="{D5CDD505-2E9C-101B-9397-08002B2CF9AE}" pid="3" name="ClearView IsDirty">
    <vt:lpwstr>YES</vt:lpwstr>
  </property>
</Properties>
</file>