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r>
    </w:p>
    <w:p>
      <w:pPr>
        <w:pStyle w:val="BodyText"/>
        <w:jc w:val="center"/>
        <w:rPr>
          <w:b/>
        </w:rPr>
      </w:pPr>
      <w:r>
        <w:rPr>
          <w:b/>
        </w:rPr>
        <w:t>PROMISSORY NOTE</w:t>
      </w:r>
    </w:p>
    <w:p>
      <w:pPr>
        <w:pStyle w:val="Normal"/>
        <w:tabs>
          <w:tab w:val="clear" w:pos="720"/>
          <w:tab w:val="right" w:pos="8640" w:leader="none"/>
        </w:tabs>
        <w:spacing w:before="0" w:after="0"/>
        <w:jc w:val="both"/>
        <w:rPr/>
      </w:pPr>
      <w:r>
        <w:rPr/>
        <w:t>$67,776,700</w:t>
        <w:tab/>
        <w:t>May           , 2001</w:t>
      </w:r>
    </w:p>
    <w:p>
      <w:pPr>
        <w:pStyle w:val="Normal"/>
        <w:tabs>
          <w:tab w:val="clear" w:pos="720"/>
          <w:tab w:val="right" w:pos="8640" w:leader="none"/>
        </w:tabs>
        <w:suppressAutoHyphens w:val="true"/>
        <w:rPr/>
      </w:pPr>
      <w:r>
        <w:rPr/>
        <w:tab/>
        <w:t>New York, New York</w:t>
      </w:r>
    </w:p>
    <w:p>
      <w:pPr>
        <w:pStyle w:val="Heading2"/>
        <w:ind w:hanging="0" w:start="0"/>
        <w:rPr/>
      </w:pPr>
      <w:r>
        <w:rPr/>
        <w:t>Promise to Pay Principal</w:t>
      </w:r>
    </w:p>
    <w:p>
      <w:pPr>
        <w:pStyle w:val="BodyText"/>
        <w:rPr/>
      </w:pPr>
      <w:r>
        <w:rPr/>
        <w:t>1.</w:t>
        <w:tab/>
        <w:t xml:space="preserve">FOR VALUE RECEIVED, SALMON ENERGY LLC, a limited liability company organized under the law of the State of Delaware (the </w:t>
      </w:r>
      <w:r>
        <w:rPr>
          <w:b/>
          <w:i/>
        </w:rPr>
        <w:t>Payor</w:t>
      </w:r>
      <w:r>
        <w:rPr/>
        <w:t xml:space="preserve">), hereby unconditionally promises to pay to PEGASUS POWER PARTNERS, LLC, a limited liability company organized under the law of the State of Delaware (the </w:t>
      </w:r>
      <w:r>
        <w:rPr>
          <w:b/>
          <w:i/>
        </w:rPr>
        <w:t>Payee</w:t>
      </w:r>
      <w:r>
        <w:rPr/>
        <w:t>), the principal sum of SIXTY SEVEN MILLION SEVEN HUNDRED SEVENTY-SIX THOUSAND SEVEN HUNDRED DOLLARS on the Maturity Date (as defined below).  Unless otherwise indicated herein, capitalized terms used herein without definition have the meanings given to such term in § 11 below.</w:t>
      </w:r>
    </w:p>
    <w:p>
      <w:pPr>
        <w:pStyle w:val="Heading2"/>
        <w:ind w:hanging="0" w:start="0"/>
        <w:rPr/>
      </w:pPr>
      <w:r>
        <w:rPr/>
        <w:t>Promise to Pay Interest</w:t>
      </w:r>
    </w:p>
    <w:p>
      <w:pPr>
        <w:pStyle w:val="BodyText"/>
        <w:rPr/>
      </w:pPr>
      <w:r>
        <w:rPr/>
        <w:t>2.</w:t>
        <w:tab/>
        <w:t>The Payor hereby unconditionally promises to pay to the order of the Payee accrued interest on the unpaid principal amount of this Note for the period from and including the date hereof to but excluding the date that the principal of this Note shall be paid in full, at a rate per annum equal to the Applicable Interest Rate for each Interest Period, and interest accrued on this Note during each Interest Period shall be added to the principal amount of this Note and repaid in accordance with §1 hereof.  Notwithstanding the foregoing, the Payor hereby unconditionally promises to pay to the order of the Payee interest on any principal or interest payable by the Payor under this Note that shall not be paid in full when due (whether at stated maturity, by acceleration, upon optional or mandatory prepayment or otherwise), for the period from and including the due date of such payment to but excluding the date the same is paid in full, at a rate per annum equal to the applicable Default Rate.  Interest payable under this Note shall be computed on the basis of a year of 360 days and twelve 30-day months and actual days elapsed (including the first day but excluding the last day) occurring in the period for which payable.</w:t>
      </w:r>
    </w:p>
    <w:p>
      <w:pPr>
        <w:pStyle w:val="Heading2"/>
        <w:ind w:hanging="0" w:start="0"/>
        <w:rPr/>
      </w:pPr>
      <w:r>
        <w:rPr/>
        <w:t>Recordation of Amounts Owing</w:t>
      </w:r>
    </w:p>
    <w:p>
      <w:pPr>
        <w:pStyle w:val="BodyText"/>
        <w:rPr/>
      </w:pPr>
      <w:r>
        <w:rPr/>
        <w:t>3.</w:t>
        <w:tab/>
        <w:t>The Payee shall maintain records of the amounts owing under this Note, and such records shall, absent manifest error, be conclusive evidence of such amounts.  Prior to any sale, assignment or transfer of this Note, each payment of principal theretofore made under this Note shall be endorsed by the Payee on Annex A hereto (or any continuation of said Annex).</w:t>
      </w:r>
    </w:p>
    <w:p>
      <w:pPr>
        <w:pStyle w:val="Heading2"/>
        <w:ind w:hanging="0" w:start="0"/>
        <w:rPr/>
      </w:pPr>
      <w:r>
        <w:rPr/>
        <w:t>Manner of Payment</w:t>
      </w:r>
    </w:p>
    <w:p>
      <w:pPr>
        <w:pStyle w:val="BodyText"/>
        <w:rPr/>
      </w:pPr>
      <w:r>
        <w:rPr/>
        <w:t>4.</w:t>
        <w:tab/>
        <w:t>All payments of principal and interest to be made by the Payor under this Note shall be made in Dollars, in immediately available funds, by wire transfer to US Bank Trust National Association, Account #94425260 (Proceeds Account) not later than 12:00 noon New York time on the date on which such payment shall become due (each such payment made after such time on such due date to be deemed to have been made on the next succeeding Business Day). All amounts payable under this Note shall be paid free and clear of, and without reduction by reason of, any set</w:t>
        <w:noBreakHyphen/>
        <w:t>off, counterclaim, deduction or withholding whatsoever (including, without limitation, any deduction or withholding in respect of taxes).  The Payor shall, at the time of making each payment under this Note, specify to the Payee the amounts payable by the Payor under this Note to which such payment is to be applied, in which case such payment shall be so applied (and in the event that the Payor fails to so specify, or if an Event of Default has occurred and is continuing, such payment shall be applied in such manner as is determined to be appropriate by the Payee).</w:t>
      </w:r>
    </w:p>
    <w:p>
      <w:pPr>
        <w:pStyle w:val="Heading2"/>
        <w:ind w:hanging="0" w:start="0"/>
        <w:rPr/>
      </w:pPr>
      <w:r>
        <w:rPr/>
        <w:t>Payments on Business Days</w:t>
      </w:r>
    </w:p>
    <w:p>
      <w:pPr>
        <w:pStyle w:val="BodyText"/>
        <w:rPr/>
      </w:pPr>
      <w:r>
        <w:rPr/>
        <w:t>5.</w:t>
        <w:tab/>
        <w:t>If the due date of any payment under this Note would otherwise fall on a day that is not a Business Day, such due date shall be extended to the next succeeding Business Day, and interest shall be payable on any principal so extended for the period of such extension.</w:t>
      </w:r>
    </w:p>
    <w:p>
      <w:pPr>
        <w:pStyle w:val="Heading2"/>
        <w:ind w:hanging="0" w:start="0"/>
        <w:rPr/>
      </w:pPr>
      <w:r>
        <w:rPr/>
        <w:t>Prepayments</w:t>
      </w:r>
    </w:p>
    <w:p>
      <w:pPr>
        <w:pStyle w:val="BodyText"/>
        <w:rPr/>
      </w:pPr>
      <w:r>
        <w:rPr/>
        <w:t>6.</w:t>
        <w:tab/>
        <w:t xml:space="preserve">The Payor shall have the right to prepay any portion of the principal amount owing under this Note up an aggregate principal amount of $46,000,000 plus any interest accrued thereon to the date of such prepayment (but not to exceed the total amounts due at any time under the Note Purchase Agreement) at any time or from time to time, </w:t>
      </w:r>
      <w:r>
        <w:rPr>
          <w:b/>
        </w:rPr>
        <w:t>provided</w:t>
      </w:r>
      <w:r>
        <w:rPr/>
        <w:t xml:space="preserve"> that (a) each prepayment of the Notes shall be in an aggregate amount of at least equal to $1,000,000 (or a larger multiple of $100,000), together with interest accrued thereon to the date for such prepayment and (b) the Payor shall give the Payee at least five Business Days' but no more than thirty days notice of each such prepayment (and, upon the prepayment date specified in any such notice, the amount to be prepaid shall become due and payable under this Note).</w:t>
      </w:r>
    </w:p>
    <w:p>
      <w:pPr>
        <w:pStyle w:val="Heading2"/>
        <w:ind w:hanging="0" w:start="0"/>
        <w:rPr/>
      </w:pPr>
      <w:r>
        <w:rPr/>
        <w:t>Right of Set-Off</w:t>
      </w:r>
    </w:p>
    <w:p>
      <w:pPr>
        <w:pStyle w:val="BodyText"/>
        <w:rPr/>
      </w:pPr>
      <w:r>
        <w:rPr/>
        <w:t>7.</w:t>
        <w:tab/>
        <w:t>The Payor agrees that, in addition to (and without limitation of) any right of set</w:t>
        <w:noBreakHyphen/>
        <w:t xml:space="preserve">off the Payee may otherwise have, the Payee shall be entitled, at its option, to offset amounts owing by the Payee to the Payor, in Dollars or in any other currency (regardless of whether such amounts are then due to the Payor), against any amount payable by the Payor to the Payee under this Note that is not paid when due; </w:t>
      </w:r>
      <w:r>
        <w:rPr>
          <w:b/>
        </w:rPr>
        <w:t>provided</w:t>
      </w:r>
      <w:r>
        <w:rPr/>
        <w:t xml:space="preserve"> that nothing contained herein shall require the Payee to exercise any such right.</w:t>
      </w:r>
    </w:p>
    <w:p>
      <w:pPr>
        <w:pStyle w:val="Heading2"/>
        <w:ind w:hanging="0" w:start="0"/>
        <w:rPr/>
      </w:pPr>
      <w:r>
        <w:rPr/>
        <w:t>Representations and Warranties</w:t>
      </w:r>
    </w:p>
    <w:p>
      <w:pPr>
        <w:pStyle w:val="BodyText"/>
        <w:rPr/>
      </w:pPr>
      <w:r>
        <w:rPr/>
        <w:t>8.</w:t>
        <w:tab/>
        <w:t>The Payor hereby represents and warrants to the Payee as follows:</w:t>
      </w:r>
    </w:p>
    <w:p>
      <w:pPr>
        <w:pStyle w:val="a"/>
        <w:rPr/>
      </w:pPr>
      <w:r>
        <w:rPr/>
        <w:t>(a)</w:t>
        <w:tab/>
      </w:r>
      <w:r>
        <w:rPr>
          <w:b/>
        </w:rPr>
        <w:t>Corporate Existence.</w:t>
      </w:r>
      <w:r>
        <w:rPr/>
        <w:t xml:space="preserve">  The Payor is a limited liability company duly organized and validly existing under the law of the State of Delaware, has all necessary limited liability company power, and has all material governmental licenses, authorizations, consents and approvals, necessary to own its assets and carry on its business as now being or as proposed to be conducted and is qualified to do business in all jurisdictions in which the nature of the business conducted by it makes such qualification necessary.</w:t>
      </w:r>
    </w:p>
    <w:p>
      <w:pPr>
        <w:pStyle w:val="a"/>
        <w:rPr/>
      </w:pPr>
      <w:r>
        <w:rPr/>
        <w:t>(b)</w:t>
        <w:tab/>
      </w:r>
      <w:r>
        <w:rPr>
          <w:b/>
        </w:rPr>
        <w:t>No Breach.</w:t>
      </w:r>
      <w:r>
        <w:rPr/>
        <w:t xml:space="preserve">  None of the execution and delivery of this Note, the making of the extension(s) of credit evidenced hereby, the consummation of the transactions herein contemplated and compliance with the terms and provisions hereof will conflict with or result in a breach of, or require any consent under, the certificate of formation or limited liability company agreement (or any equivalent documents) of the Payor, or any applicable law or regulation, or any order, writ, injunction or decree of any court or governmental authority or agency, or any agreement or instrument to which the Payor is a party or by which the Payor is bound or to which the Payor is subject, or constitute a default under, or result in the creation of any Lien under, any such agreement or instrument.</w:t>
      </w:r>
    </w:p>
    <w:p>
      <w:pPr>
        <w:pStyle w:val="a"/>
        <w:rPr/>
      </w:pPr>
      <w:r>
        <w:rPr/>
        <w:t>(c)</w:t>
        <w:tab/>
      </w:r>
      <w:r>
        <w:rPr>
          <w:b/>
        </w:rPr>
        <w:t>Action; Execution and Delivery; Enforceability.</w:t>
      </w:r>
      <w:r>
        <w:rPr/>
        <w:t xml:space="preserve">  The Payor has all necessary corporate power and authority to execute, deliver and perform its obligations under this Note; the execution, delivery and performance by the Payor of this Note have been duly authorized by all necessary corporate action on its part; and this Note has been duly and validly executed and delivered by the Payor and constitutes its legal, valid and binding obligation, enforceable against the Payor in accordance with its terms.</w:t>
      </w:r>
    </w:p>
    <w:p>
      <w:pPr>
        <w:pStyle w:val="a"/>
        <w:rPr/>
      </w:pPr>
      <w:r>
        <w:rPr/>
        <w:t>(d)</w:t>
        <w:tab/>
      </w:r>
      <w:r>
        <w:rPr>
          <w:b/>
        </w:rPr>
        <w:t>Approvals.</w:t>
      </w:r>
      <w:r>
        <w:rPr/>
        <w:t xml:space="preserve">  No authorizations, approvals or consents of, and no filings or registrations with, any governmental or regulatory authority or agency are necessary for the execution, delivery or performance by the Payor of this Note or for the validity or enforceability hereof.</w:t>
      </w:r>
    </w:p>
    <w:p>
      <w:pPr>
        <w:pStyle w:val="Heading2"/>
        <w:ind w:hanging="0" w:start="0"/>
        <w:rPr/>
      </w:pPr>
      <w:r>
        <w:rPr/>
        <w:t>Covenants</w:t>
      </w:r>
    </w:p>
    <w:p>
      <w:pPr>
        <w:pStyle w:val="BodyText"/>
        <w:rPr/>
      </w:pPr>
      <w:r>
        <w:rPr/>
        <w:t>9.</w:t>
        <w:tab/>
        <w:t>The Payor covenants and agrees with the Payee that, until payment in full of all amounts payable by the Payor hereunder:</w:t>
      </w:r>
    </w:p>
    <w:p>
      <w:pPr>
        <w:pStyle w:val="a"/>
        <w:rPr/>
      </w:pPr>
      <w:r>
        <w:rPr/>
        <w:t>(a)</w:t>
        <w:tab/>
      </w:r>
      <w:r>
        <w:rPr>
          <w:b/>
        </w:rPr>
        <w:t>Information.</w:t>
      </w:r>
      <w:r>
        <w:rPr/>
        <w:t xml:space="preserve">  The Payor shall provide to the Payee such other information regarding the financial condition, operations, business or prospects of the Payor as the Payee may reasonably request.  Without limiting the foregoing, the Payor shall permit representatives of the Payee, during normal business hours, to examine, copy and make extracts from its books and records, to inspect any of its Property, and to discuss its business and affairs with its officers, all to the extent reasonably requested by the Payee.</w:t>
      </w:r>
    </w:p>
    <w:p>
      <w:pPr>
        <w:pStyle w:val="a"/>
        <w:rPr/>
      </w:pPr>
      <w:r>
        <w:rPr/>
        <w:t>(b)</w:t>
        <w:tab/>
      </w:r>
      <w:r>
        <w:rPr>
          <w:b/>
        </w:rPr>
        <w:t>Conduct of Business.</w:t>
      </w:r>
      <w:r>
        <w:rPr/>
        <w:t xml:space="preserve">  The Payor will: (i) preserve and maintain its legal existence and all of its material rights, privileges, licenses and franchises; (ii) comply with the requirements of all applicable laws, rules, regulations and orders of governmental or regulatory authorities; (iii) pay and discharge all taxes, assessments and governmental charges or levies imposed on it or on its income or profits or on any of its Property prior to the date on which penalties attach thereto, except for any such tax, assessment, charge or levy the payment of which is being contested in good faith and by proper proceedings and against which adequate reserves are being maintained; (iv) maintain all of its Property used or useful in its business in good working order and condition, ordinary wear and tear excepted; and (v) keep adequate records and books of account, in which complete entries will be made in accordance with generally accepted accounting principles consistently applied.</w:t>
      </w:r>
    </w:p>
    <w:p>
      <w:pPr>
        <w:pStyle w:val="Heading2"/>
        <w:ind w:hanging="0" w:start="0"/>
        <w:rPr/>
      </w:pPr>
      <w:r>
        <w:rPr/>
        <w:t>Default; Remedies; Expenses</w:t>
      </w:r>
    </w:p>
    <w:p>
      <w:pPr>
        <w:pStyle w:val="BodyText"/>
        <w:rPr/>
      </w:pPr>
      <w:r>
        <w:rPr/>
        <w:t>10.</w:t>
        <w:tab/>
        <w:t xml:space="preserve">If one or more of the following events (herein called </w:t>
      </w:r>
      <w:r>
        <w:rPr>
          <w:b/>
          <w:i/>
        </w:rPr>
        <w:t>Events of Default</w:t>
      </w:r>
      <w:r>
        <w:rPr/>
        <w:t>) shall occur and be continuing:</w:t>
      </w:r>
    </w:p>
    <w:p>
      <w:pPr>
        <w:pStyle w:val="a"/>
        <w:rPr/>
      </w:pPr>
      <w:r>
        <w:rPr/>
        <w:t>(a)</w:t>
        <w:tab/>
        <w:t>the Payor defaults in the payment of any amount owing under this Note when due (whether at stated maturity, by acceleration, upon optional or mandatory prepayment or otherwise); or</w:t>
      </w:r>
    </w:p>
    <w:p>
      <w:pPr>
        <w:pStyle w:val="a"/>
        <w:rPr/>
      </w:pPr>
      <w:r>
        <w:rPr/>
        <w:t>(b)</w:t>
        <w:tab/>
        <w:t>any representation, warranty or certification made herein or pursuant hereto (or in any modification or supplement hereto) by the Payor proves to have been false or misleading as of the time made in any material respect; or</w:t>
      </w:r>
    </w:p>
    <w:p>
      <w:pPr>
        <w:pStyle w:val="a"/>
        <w:rPr/>
      </w:pPr>
      <w:r>
        <w:rPr/>
        <w:t>(c)</w:t>
        <w:tab/>
        <w:t>an Event of Default shall have occurred or be continuing under that certain Note Purchase Agreement dated as of April 26, 2001 between Pegasus Power Partners, LLC, John Hancock Life Insurance Company and John Hancock Variable Life Insurance Company; or</w:t>
      </w:r>
    </w:p>
    <w:p>
      <w:pPr>
        <w:pStyle w:val="a"/>
        <w:rPr/>
      </w:pPr>
      <w:r>
        <w:rPr/>
        <w:t>(d)</w:t>
        <w:tab/>
        <w:t>the Payor (1) is dissolved;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subclauses (1) to (7) (inclusive); or (9) takes any action in furtherance of, or indicating its consent to, approval of, or acquiescence in, any of the foregoing acts; or</w:t>
      </w:r>
    </w:p>
    <w:p>
      <w:pPr>
        <w:pStyle w:val="BodyText"/>
        <w:rPr/>
      </w:pPr>
      <w:r>
        <w:rPr/>
        <w:t>THEREUPON:  (A) in the case of an Event of Default other than one referred to in subclause (1), (3), (4), (5), (6) or, to the extent analogous thereto, (8) of clause (d) of this § 10 with respect to the Payor, the Payee may, by notice to the Payor, declare the principal and interest payable by the Payor hereunder to be forthwith due and payable, whereupon such amounts shall be immediately due and payable without presentment, demand, protest or other formalities of any kind, all of which are hereby expressly waived by the Payor; and (B) in the case of the occurrence of an Event of Default referred to in subclause (1), (3), (4), (5), (6) or, to the extent analogous thereto, (8) of clause (d) of this § 10 with respect to the Payor, the principal and interest payable by the Payor hereunder shall automatically become immediately due and payable without presentment, demand, protest or other formalities of any kind, all of which are hereby expressly waived by the Payor.</w:t>
      </w:r>
    </w:p>
    <w:p>
      <w:pPr>
        <w:pStyle w:val="BodyText"/>
        <w:rPr/>
      </w:pPr>
      <w:r>
        <w:rPr/>
        <w:t>The Payor agrees to pay or reimburse the Payee for paying:  (a) all costs and expenses of the Payee (including, without limitation, reasonable counsels' fees) in connection with any default and any enforcement or collection proceedings resulting therefrom (including, without limitation, enforcement of this paragraph); and (b) all transfer, stamp, documentary or other similar taxes, assessments or charges levied by any governmental or revenue authority in respect of this Note or any other document referred to herein.</w:t>
      </w:r>
    </w:p>
    <w:p>
      <w:pPr>
        <w:pStyle w:val="Heading2"/>
        <w:ind w:hanging="0" w:start="0"/>
        <w:rPr/>
      </w:pPr>
      <w:r>
        <w:rPr/>
        <w:t>Definitions</w:t>
      </w:r>
    </w:p>
    <w:p>
      <w:pPr>
        <w:pStyle w:val="BodyText"/>
        <w:rPr/>
      </w:pPr>
      <w:r>
        <w:rPr/>
        <w:t>11.</w:t>
        <w:tab/>
        <w:t>As used herein, the following terms have the following respective meanings:</w:t>
      </w:r>
    </w:p>
    <w:p>
      <w:pPr>
        <w:pStyle w:val="BodyText"/>
        <w:rPr>
          <w:b/>
          <w:i/>
          <w:i/>
        </w:rPr>
      </w:pPr>
      <w:r>
        <w:rPr>
          <w:b/>
          <w:i/>
        </w:rPr>
        <w:t>Applicable Interest Rate:</w:t>
      </w:r>
      <w:r>
        <w:rPr/>
        <w:t xml:space="preserve">  for any Interest Period, equals 12% for such period.</w:t>
      </w:r>
    </w:p>
    <w:p>
      <w:pPr>
        <w:pStyle w:val="BodyText"/>
        <w:rPr/>
      </w:pPr>
      <w:r>
        <w:rPr>
          <w:b/>
          <w:i/>
        </w:rPr>
        <w:t>Business Day</w:t>
      </w:r>
      <w:r>
        <w:rPr/>
        <w:t xml:space="preserve"> means any day on which commercial banks are not authorized or required to close in New York City.</w:t>
      </w:r>
    </w:p>
    <w:p>
      <w:pPr>
        <w:pStyle w:val="BodyText"/>
        <w:rPr/>
      </w:pPr>
      <w:r>
        <w:rPr>
          <w:b/>
          <w:i/>
        </w:rPr>
        <w:t>Default</w:t>
      </w:r>
      <w:r>
        <w:rPr/>
        <w:t xml:space="preserve"> means any Event of Default and any event or condition that would upon notice or lapse of time or both, unless cured or waived, become an Event of Default.</w:t>
      </w:r>
    </w:p>
    <w:p>
      <w:pPr>
        <w:pStyle w:val="BodyText"/>
        <w:rPr/>
      </w:pPr>
      <w:r>
        <w:rPr>
          <w:b/>
          <w:i/>
        </w:rPr>
        <w:t>Default Rate</w:t>
      </w:r>
      <w:r>
        <w:rPr>
          <w:b/>
        </w:rPr>
        <w:t xml:space="preserve">:  </w:t>
      </w:r>
      <w:r>
        <w:rPr/>
        <w:t>For any date, the Applicable Interest Rate as of such date plus 2% per annum</w:t>
      </w:r>
    </w:p>
    <w:p>
      <w:pPr>
        <w:pStyle w:val="BodyText"/>
        <w:rPr/>
      </w:pPr>
      <w:r>
        <w:rPr>
          <w:b/>
          <w:i/>
        </w:rPr>
        <w:t>Dollars</w:t>
      </w:r>
      <w:r>
        <w:rPr/>
        <w:t xml:space="preserve"> and </w:t>
      </w:r>
      <w:r>
        <w:rPr>
          <w:b/>
          <w:i/>
        </w:rPr>
        <w:t>$</w:t>
      </w:r>
      <w:r>
        <w:rPr/>
        <w:t xml:space="preserve"> means lawful money of the United States of America.</w:t>
      </w:r>
    </w:p>
    <w:p>
      <w:pPr>
        <w:pStyle w:val="a"/>
        <w:ind w:hanging="0" w:start="0" w:end="0"/>
        <w:rPr/>
      </w:pPr>
      <w:r>
        <w:rPr>
          <w:b/>
          <w:i/>
        </w:rPr>
        <w:t>Interest Accrual Date</w:t>
      </w:r>
      <w:r>
        <w:rPr>
          <w:b/>
        </w:rPr>
        <w:t>:</w:t>
      </w:r>
      <w:r>
        <w:rPr/>
        <w:t xml:space="preserve">  Each October 1 and April 1 of each year, occurring on or after the Closing Date and in each case, if such date is not a Business Day then on the Business Day immediately following.</w:t>
      </w:r>
    </w:p>
    <w:p>
      <w:pPr>
        <w:pStyle w:val="BodyText"/>
        <w:rPr>
          <w:b/>
          <w:i/>
          <w:i/>
        </w:rPr>
      </w:pPr>
      <w:r>
        <w:rPr>
          <w:b/>
          <w:i/>
          <w:color w:val="000000"/>
        </w:rPr>
        <w:t>Interest Period</w:t>
      </w:r>
      <w:r>
        <w:rPr>
          <w:b/>
          <w:color w:val="000000"/>
        </w:rPr>
        <w:t xml:space="preserve">:  </w:t>
      </w:r>
      <w:r>
        <w:rPr>
          <w:color w:val="000000"/>
        </w:rPr>
        <w:t xml:space="preserve">(i) Initially, the period from, and including, the date of issuance of the Note, to, but excluding the Interest Accrual Date occurring immediately after such date; (ii) thereafter until the last Interest Accrual Date before the Maturity Date, the period from, and including, the Interest Accrual Date immediately following the last day of the immediately preceding Interest Period to, but excluding, the next succeeding Interest Accrual Date and (iii) in the case of the final Interest Period with respect thereto, the period from, and including, the last Interest Accrual Date before Maturity Date to and including the Maturity Date; </w:t>
      </w:r>
      <w:r>
        <w:rPr>
          <w:b/>
          <w:i/>
          <w:color w:val="000000"/>
        </w:rPr>
        <w:t>provided</w:t>
      </w:r>
      <w:r>
        <w:rPr>
          <w:i/>
          <w:color w:val="000000"/>
        </w:rPr>
        <w:t xml:space="preserve"> </w:t>
      </w:r>
      <w:r>
        <w:rPr>
          <w:color w:val="000000"/>
        </w:rPr>
        <w:t>that (x) if any Interest Period would end on a day other than a Business Day, such Interest Period shall be extended to the next succeeding Business Day unless such next succeeding Business Day would fall in the next calendar month, in which case such Interest Period shall end on the next preceding Business Day and (y) any Interest Period that commences on the last Business Day of a calendar month (or on a day for which there is no numerically corresponding day in the last calendar month of such Interest Period) shall end on the last Business Day of the last calendar month of such Interest Period.</w:t>
      </w:r>
    </w:p>
    <w:p>
      <w:pPr>
        <w:pStyle w:val="a"/>
        <w:ind w:hanging="0" w:start="0" w:end="0"/>
        <w:rPr/>
      </w:pPr>
      <w:r>
        <w:rPr>
          <w:b/>
          <w:i/>
        </w:rPr>
        <w:t>LIBOR</w:t>
      </w:r>
      <w:r>
        <w:rPr>
          <w:b/>
        </w:rPr>
        <w:t xml:space="preserve">:  </w:t>
      </w:r>
      <w:r>
        <w:rPr/>
        <w:t xml:space="preserve">For any Interest Period, the arithmetic mean (rounded upwards, if necessary, to the nearest 1/10,000 of 1%) of the respective rates per annum quoted on Telerate Page 3750 or such other page as may replace such Telerate Page 3750 for the purpose of displaying comparable rates), as of 11:00 am, London time, on the LIBOR Determination Date with respect to such Interest Period; </w:t>
      </w:r>
      <w:r>
        <w:rPr>
          <w:b/>
          <w:i/>
        </w:rPr>
        <w:t>provided</w:t>
      </w:r>
      <w:r>
        <w:rPr>
          <w:i/>
        </w:rPr>
        <w:t xml:space="preserve"> </w:t>
      </w:r>
      <w:r>
        <w:rPr/>
        <w:t xml:space="preserve">that if no such rate is quoted on Telerate Page 3750 on a LIBOR Determination Date, </w:t>
      </w:r>
      <w:r>
        <w:rPr>
          <w:b/>
          <w:i/>
        </w:rPr>
        <w:t xml:space="preserve">LIBOR </w:t>
      </w:r>
      <w:r>
        <w:rPr/>
        <w:t>shall mean the arithmetic mean (rounded upwards, if necessary, to the nearest 1/10,000 of 1%) as determined by the Noteholder holding at the LIBOR Determination Date the largest aggregate outstanding principal amount of Notes, of the rates per annum quoted by the Reference Banks at approximately 11:00 am London time (or as soon thereafter as practicable), in each case, on the LIBOR Determination Date with respect to such Interest Period for the offering by the Reference Banks to leading banks in the London interbank market of U.S. dollar deposits having a six-month term and in an amount comparable to the outstanding principal amount of the Notes.</w:t>
      </w:r>
    </w:p>
    <w:p>
      <w:pPr>
        <w:pStyle w:val="BodyText"/>
        <w:rPr/>
      </w:pPr>
      <w:r>
        <w:rPr>
          <w:b/>
          <w:i/>
        </w:rPr>
        <w:t>LIBOR Determination Date:</w:t>
      </w:r>
      <w:r>
        <w:rPr/>
        <w:t xml:space="preserve">  For any Interest Period, the second Business Day immediately preceding the first day of such Interest Period.</w:t>
      </w:r>
      <w:r>
        <w:rPr>
          <w:bCs/>
          <w:iCs/>
        </w:rPr>
        <w:t xml:space="preserve"> </w:t>
      </w:r>
    </w:p>
    <w:p>
      <w:pPr>
        <w:pStyle w:val="BodyText"/>
        <w:rPr/>
      </w:pPr>
      <w:r>
        <w:rPr>
          <w:b/>
          <w:i/>
        </w:rPr>
        <w:t>Lien</w:t>
      </w:r>
      <w:r>
        <w:rPr/>
        <w:t xml:space="preserve"> means, with respect to any Property, any mortgage, lien, pledge, charge, security interest or encumbrance of any kind in respect of such Property.</w:t>
      </w:r>
    </w:p>
    <w:p>
      <w:pPr>
        <w:pStyle w:val="BodyText"/>
        <w:rPr/>
      </w:pPr>
      <w:r>
        <w:rPr>
          <w:b/>
          <w:i/>
        </w:rPr>
        <w:t xml:space="preserve">Maturity Date </w:t>
      </w:r>
      <w:r>
        <w:rPr>
          <w:bCs/>
          <w:iCs/>
        </w:rPr>
        <w:t>July 25, 2002.</w:t>
      </w:r>
    </w:p>
    <w:p>
      <w:pPr>
        <w:pStyle w:val="BodyText"/>
        <w:rPr/>
      </w:pPr>
      <w:r>
        <w:rPr>
          <w:b/>
          <w:i/>
        </w:rPr>
        <w:t>Person</w:t>
      </w:r>
      <w:r>
        <w:rPr/>
        <w:t xml:space="preserve"> means any natural person, corporation, limited liability company, trust, joint venture, association, company, partnership, governmental authority or other entity.</w:t>
      </w:r>
    </w:p>
    <w:p>
      <w:pPr>
        <w:pStyle w:val="BodyText"/>
        <w:rPr/>
      </w:pPr>
      <w:r>
        <w:rPr>
          <w:b/>
          <w:i/>
        </w:rPr>
        <w:t>Property</w:t>
      </w:r>
      <w:r>
        <w:rPr/>
        <w:t xml:space="preserve"> means any right or interest in or to property of any kind whatsoever, whether real, personal or mixed and whether tangible or intangible.</w:t>
      </w:r>
    </w:p>
    <w:p>
      <w:pPr>
        <w:pStyle w:val="Heading2"/>
        <w:ind w:hanging="0" w:start="0"/>
        <w:rPr/>
      </w:pPr>
      <w:r>
        <w:rPr/>
        <w:t>Waiver; Remedies</w:t>
      </w:r>
    </w:p>
    <w:p>
      <w:pPr>
        <w:pStyle w:val="BodyText"/>
        <w:rPr/>
      </w:pPr>
      <w:r>
        <w:rPr/>
        <w:t>12.</w:t>
        <w:tab/>
        <w:t>No failure or delay by the Payee in exercising any right, power or privilege in respect of this Note will be presumed to operate as a waiver, and no single or partial exercise by the Payee of any right, power or privilege will be presumed to preclude any subsequent or further exercise by the Payee, of that right, power or privilege or the exercise of any other right, power or privilege.  The rights, powers, remedies and privileges of the Payee provided in this Note are cumulative and not exclusive of any rights, powers, remedies and privileges provided by law.</w:t>
      </w:r>
    </w:p>
    <w:p>
      <w:pPr>
        <w:pStyle w:val="Heading2"/>
        <w:ind w:hanging="0" w:start="0"/>
        <w:rPr/>
      </w:pPr>
      <w:r>
        <w:rPr/>
        <w:t>Notices</w:t>
      </w:r>
    </w:p>
    <w:p>
      <w:pPr>
        <w:pStyle w:val="BodyText"/>
        <w:rPr/>
      </w:pPr>
      <w:r>
        <w:rPr/>
        <w:t>13.</w:t>
        <w:tab/>
        <w:t>All notices and other communications in respect of this Note (including, without limitation, any modifications of, or requests, waivers or consents under, this Note) shall be given or made in writing (including, without limitation, by facsimile transmission) (a) in the case of the Payor, at the "Address for Notices" specified below its name on the signature pages hereof and (b) in the case of the Payee, at the address for such purpose as shall have been most recently specified to the Payor by the Payee; or, as to either the Payor or the Payee, at such other address as shall be designated by such party in a notice to the other party.  Except as otherwise provided in this Note, all such communications shall be deemed to have been duly given when transmitted by facsimile transmission or personally delivered or, in the case of a mailed notice, upon receipt, in each case given or addressed as aforesaid.</w:t>
      </w:r>
    </w:p>
    <w:p>
      <w:pPr>
        <w:pStyle w:val="Heading2"/>
        <w:ind w:hanging="0" w:start="0"/>
        <w:rPr/>
      </w:pPr>
      <w:r>
        <w:rPr/>
        <w:t>Amendments; Successors; Assignments</w:t>
      </w:r>
    </w:p>
    <w:p>
      <w:pPr>
        <w:pStyle w:val="BodyText"/>
        <w:rPr/>
      </w:pPr>
      <w:r>
        <w:rPr/>
        <w:t>14.</w:t>
        <w:tab/>
        <w:t>No amendment, modification or waiver in respect of this Note will be effective unless in writing (including a writing evidenced by a facsimile transmission) and executed by each of the Payor and the Payee.  This Note shall be binding upon and inure to the benefit of the Payor and the Payee and their respective successors and permitted assigns.  The Payor shall not assign or delegate any of its rights or obligations under this Note without the prior consent of the Payee.  The Payee may at any time and from time to time, without the consent of the Payor, assign all or any portion of its rights under this Note to one or more Persons, and, upon the Payee giving notice of such assignment to the Payor specifying the interest hereunder being assigned and the Person to which such interest is being assigned, each reference herein to the Payee shall (solely in respect of the interest so assigned) constitute a reference to such assignee (as if such assignee were named herein) rather than the Payee.  The Payee shall be entitled to have this Note subdivided, by exchange of this Note for Notes of lesser denominations or otherwise, to the extent necessary to reflect any such assignment.</w:t>
      </w:r>
    </w:p>
    <w:p>
      <w:pPr>
        <w:pStyle w:val="Heading2"/>
        <w:ind w:hanging="0" w:start="0"/>
        <w:rPr/>
      </w:pPr>
      <w:r>
        <w:rPr/>
        <w:t>Governing Law; Submission to Jurisdiction; Venue</w:t>
      </w:r>
    </w:p>
    <w:p>
      <w:pPr>
        <w:pStyle w:val="BodyText"/>
        <w:rPr/>
      </w:pPr>
      <w:r>
        <w:rPr/>
        <w:t>15.</w:t>
        <w:tab/>
        <w:t>This Note shall be governed by, and construed in accordance with, the law of the State of New York. With respect to any suit, action or proceedings relating to this Note or any of the transactions contemplated hereby (</w:t>
      </w:r>
      <w:r>
        <w:rPr>
          <w:b/>
          <w:i/>
        </w:rPr>
        <w:t>Proceedings</w:t>
      </w:r>
      <w:r>
        <w:rPr/>
        <w:t>), the Payor irrevocably:  (i) submits to the jurisdiction of the courts of the State of New York and the United States District Court located in the Borough of Manhattan in New York City; and (ii) to the fullest extent permitted by applicable law, waives any objection which the Payor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the Payor.  Nothing in this Note precludes either the Payor or the Payee from bringing Proceedings in any other jurisdiction, nor will the bringing of Proceedings in any one or more jurisdictions preclude the bringing of Proceedings in any other jurisdiction.</w:t>
      </w:r>
    </w:p>
    <w:p>
      <w:pPr>
        <w:pStyle w:val="Heading2"/>
        <w:ind w:hanging="0" w:start="0"/>
        <w:rPr/>
      </w:pPr>
      <w:r>
        <w:rPr/>
        <w:t>Waiver of Jury Trial</w:t>
      </w:r>
    </w:p>
    <w:p>
      <w:pPr>
        <w:pStyle w:val="BodyText"/>
        <w:keepNext w:val="true"/>
        <w:rPr/>
      </w:pPr>
      <w:r>
        <w:rPr/>
        <w:t>16.</w:t>
        <w:tab/>
      </w:r>
      <w:r>
        <w:rPr>
          <w:b/>
        </w:rPr>
        <w:t>EACH OF THE PAYOR AND THE PAYEE, BY ITS ACCEPTANCE OF THE BENEFITS OF THIS NOTE, HEREBY IRREVOCABLY WAIVES, TO THE FULLEST EXTENT PERMITTED BY APPLICABLE LAW, ANY AND ALL RIGHT TO TRIAL BY JURY IN ANY LEGAL PROCEEDING ARISING OUT OF OR RELATING TO THIS NOTE OR THE TRANSACTIONS CONTEMPLATED HEREBY.</w:t>
      </w:r>
    </w:p>
    <w:p>
      <w:pPr>
        <w:pStyle w:val="BodyText"/>
        <w:keepNext w:val="true"/>
        <w:rPr/>
      </w:pPr>
      <w:r>
        <w:rPr/>
        <w:t>SALMON ENERGY LLC</w:t>
      </w:r>
    </w:p>
    <w:p>
      <w:pPr>
        <w:pStyle w:val="BodyText"/>
        <w:keepNext w:val="true"/>
        <w:rPr/>
      </w:pPr>
      <w:r>
        <w:rPr/>
      </w:r>
    </w:p>
    <w:p>
      <w:pPr>
        <w:pStyle w:val="BodyText"/>
        <w:keepNext w:val="true"/>
        <w:tabs>
          <w:tab w:val="clear" w:pos="720"/>
          <w:tab w:val="left" w:pos="4320" w:leader="underscore"/>
        </w:tabs>
        <w:spacing w:before="0" w:after="0"/>
        <w:rPr/>
      </w:pPr>
      <w:r>
        <w:rPr/>
        <w:t>By:</w:t>
        <w:tab/>
        <w:br/>
        <w:t xml:space="preserve">     Name:</w:t>
      </w:r>
    </w:p>
    <w:p>
      <w:pPr>
        <w:pStyle w:val="BodyText"/>
        <w:keepNext w:val="true"/>
        <w:tabs>
          <w:tab w:val="clear" w:pos="720"/>
          <w:tab w:val="left" w:pos="4320" w:leader="underscore"/>
        </w:tabs>
        <w:rPr/>
      </w:pPr>
      <w:r>
        <w:rPr>
          <w:rFonts w:eastAsia="Times New Roman"/>
        </w:rPr>
        <w:t xml:space="preserve">     </w:t>
      </w:r>
      <w:r>
        <w:rPr/>
        <w:t>Title:</w:t>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t>Address for Notices:</w:t>
      </w:r>
    </w:p>
    <w:p>
      <w:pPr>
        <w:pStyle w:val="BodyText"/>
        <w:keepNext w:val="true"/>
        <w:spacing w:before="0" w:after="0"/>
        <w:rPr/>
      </w:pPr>
      <w:r>
        <w:rPr/>
        <w:t xml:space="preserve">Pegasus Power Partners, LLC </w:t>
      </w:r>
    </w:p>
    <w:p>
      <w:pPr>
        <w:pStyle w:val="BodyText"/>
        <w:keepNext w:val="true"/>
        <w:spacing w:before="0" w:after="0"/>
        <w:rPr/>
      </w:pPr>
      <w:r>
        <w:rPr/>
        <w:t>89 Headquarters Plaza</w:t>
      </w:r>
    </w:p>
    <w:p>
      <w:pPr>
        <w:pStyle w:val="BodyText"/>
        <w:keepNext w:val="true"/>
        <w:spacing w:before="0" w:after="0"/>
        <w:rPr/>
      </w:pPr>
      <w:r>
        <w:rPr/>
        <w:t>North Tower, 14th Floor</w:t>
      </w:r>
    </w:p>
    <w:p>
      <w:pPr>
        <w:pStyle w:val="BodyText"/>
        <w:keepNext w:val="true"/>
        <w:spacing w:before="0" w:after="0"/>
        <w:rPr/>
      </w:pPr>
      <w:r>
        <w:rPr/>
        <w:t>Morristown, New Jersey 07960</w:t>
      </w:r>
    </w:p>
    <w:p>
      <w:pPr>
        <w:pStyle w:val="BodyText"/>
        <w:keepNext w:val="true"/>
        <w:spacing w:before="0" w:after="0"/>
        <w:rPr/>
      </w:pPr>
      <w:r>
        <w:rPr/>
        <w:t>Attention: Richard Vicens</w:t>
      </w:r>
    </w:p>
    <w:p>
      <w:pPr>
        <w:pStyle w:val="BodyText"/>
        <w:keepNext w:val="true"/>
        <w:spacing w:before="0" w:after="0"/>
        <w:rPr/>
      </w:pPr>
      <w:r>
        <w:rPr/>
        <w:t>Facsimile: 973-326-1821</w:t>
      </w:r>
    </w:p>
    <w:p>
      <w:pPr>
        <w:pStyle w:val="BodyText"/>
        <w:spacing w:before="0" w:after="0"/>
        <w:rPr/>
      </w:pPr>
      <w:r>
        <w:rPr/>
      </w:r>
    </w:p>
    <w:p>
      <w:pPr>
        <w:pStyle w:val="BodyText"/>
        <w:rPr/>
      </w:pPr>
      <w:r>
        <w:rPr/>
      </w:r>
      <w:r>
        <w:br w:type="page"/>
      </w:r>
    </w:p>
    <w:p>
      <w:pPr>
        <w:pStyle w:val="Heading5"/>
        <w:ind w:hanging="0" w:start="0"/>
        <w:rPr/>
      </w:pPr>
      <w:r>
        <w:rPr>
          <w:rFonts w:eastAsia="Times New Roman"/>
        </w:rPr>
        <w:t xml:space="preserve"> </w:t>
      </w:r>
      <w:r>
        <w:rPr/>
        <w:t>ANNEX A</w:t>
      </w:r>
    </w:p>
    <w:p>
      <w:pPr>
        <w:pStyle w:val="Normal"/>
        <w:tabs>
          <w:tab w:val="clear" w:pos="720"/>
          <w:tab w:val="left" w:pos="-1440" w:leader="none"/>
          <w:tab w:val="left" w:pos="-720" w:leader="none"/>
        </w:tabs>
        <w:suppressAutoHyphens w:val="true"/>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vAlign w:val="bottom"/>
          </w:tcPr>
          <w:p>
            <w:pPr>
              <w:pStyle w:val="Normal"/>
              <w:spacing w:before="0" w:after="0"/>
              <w:jc w:val="both"/>
              <w:rPr>
                <w:b/>
              </w:rPr>
            </w:pPr>
            <w:r>
              <w:rPr>
                <w:b/>
              </w:rPr>
              <w:t>Amount of</w:t>
            </w:r>
          </w:p>
          <w:p>
            <w:pPr>
              <w:pStyle w:val="Normal"/>
              <w:suppressAutoHyphens w:val="true"/>
              <w:spacing w:before="0" w:after="240"/>
              <w:rPr>
                <w:b/>
              </w:rPr>
            </w:pPr>
            <w:r>
              <w:rPr>
                <w:b/>
              </w:rPr>
              <w:t>Principal Paid</w:t>
            </w:r>
          </w:p>
        </w:tc>
        <w:tc>
          <w:tcPr>
            <w:tcW w:w="2952" w:type="dxa"/>
            <w:tcBorders/>
            <w:vAlign w:val="bottom"/>
          </w:tcPr>
          <w:p>
            <w:pPr>
              <w:pStyle w:val="Normal"/>
              <w:suppressAutoHyphens w:val="true"/>
              <w:spacing w:before="0" w:after="240"/>
              <w:rPr>
                <w:b/>
              </w:rPr>
            </w:pPr>
            <w:r>
              <w:rPr>
                <w:b/>
              </w:rPr>
              <w:t>Date of Payment</w:t>
            </w:r>
          </w:p>
        </w:tc>
        <w:tc>
          <w:tcPr>
            <w:tcW w:w="2952" w:type="dxa"/>
            <w:tcBorders/>
            <w:vAlign w:val="bottom"/>
          </w:tcPr>
          <w:p>
            <w:pPr>
              <w:pStyle w:val="Normal"/>
              <w:suppressAutoHyphens w:val="true"/>
              <w:spacing w:before="0" w:after="240"/>
              <w:rPr>
                <w:b/>
              </w:rPr>
            </w:pPr>
            <w:r>
              <w:rPr>
                <w:b/>
              </w:rPr>
              <w:t>Notation Made By</w:t>
            </w:r>
          </w:p>
        </w:tc>
      </w:tr>
    </w:tbl>
    <w:p>
      <w:pPr>
        <w:pStyle w:val="BodyText"/>
        <w:rPr/>
      </w:pPr>
      <w:r>
        <w:rPr/>
      </w:r>
    </w:p>
    <w:p>
      <w:pPr>
        <w:pStyle w:val="Heading5"/>
        <w:spacing w:before="0" w:after="240"/>
        <w:ind w:hanging="0" w:start="0"/>
        <w:rPr/>
      </w:pPr>
      <w:r>
        <w:rPr/>
      </w:r>
    </w:p>
    <w:sectPr>
      <w:footerReference w:type="default" r:id="rId2"/>
      <w:footerReference w:type="first" r:id="rId3"/>
      <w:type w:val="nextPage"/>
      <w:pgSz w:w="12240" w:h="15840"/>
      <w:pgMar w:left="1800" w:right="1800" w:gutter="0" w:header="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NY003701084.DOC</w:t>
    </w:r>
    <w:r>
      <w:rPr/>
      <w:fldChar w:fldCharType="end"/>
    </w:r>
    <w:r>
      <w:rPr/>
      <w:t>/</w:t>
    </w:r>
    <w:r>
      <w:rPr/>
      <w:fldChar w:fldCharType="begin"/>
    </w:r>
    <w:r>
      <w:rPr/>
      <w:instrText xml:space="preserve"> SUBJECT </w:instrText>
    </w:r>
    <w:r>
      <w:rPr/>
      <w:fldChar w:fldCharType="separate"/>
    </w:r>
    <w:r>
      <w:rPr/>
      <w:t>11+</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NY003701084.DOC</w:t>
    </w:r>
    <w:r>
      <w:rPr/>
      <w:fldChar w:fldCharType="end"/>
    </w:r>
    <w:r>
      <w:rPr/>
      <w:t>/</w:t>
    </w:r>
    <w:r>
      <w:rPr/>
      <w:fldChar w:fldCharType="begin"/>
    </w:r>
    <w:r>
      <w:rPr/>
      <w:instrText xml:space="preserve"> SUBJECT </w:instrText>
    </w:r>
    <w:r>
      <w:rPr/>
      <w:fldChar w:fldCharType="separate"/>
    </w:r>
    <w:r>
      <w:rPr/>
      <w:t>11+</w:t>
    </w:r>
    <w:r>
      <w:rPr/>
      <w:fldChar w:fldCharType="end"/>
    </w:r>
    <w:r>
      <w:rPr/>
      <w:t xml:space="preserve">  (117784-0002)</w:t>
      <w:tab/>
      <w:t>AC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COPIEDFROM" w:val="LX992290394"/>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AutoCorrect">
    <w:name w:val="AutoCorrect"/>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2001-04-26T18:55:00Z</dcterms:created>
  <dc:creator>Cairns, Alison</dc:creator>
  <dc:description>RANCE, BRIANÿþFINANCEýüûúùDocumentsøIN÷öõFINANCEôSTANDARDó19òFF-DOC.DOTñ</dc:description>
  <dc:language>en-CA</dc:language>
  <cp:lastModifiedBy>Freshfields Bruckhaus Deringer LLP</cp:lastModifiedBy>
  <cp:lastPrinted>2001-04-26T16:30:00Z</cp:lastPrinted>
  <dcterms:modified xsi:type="dcterms:W3CDTF">2001-04-26T18:55:00Z</dcterms:modified>
  <cp:revision>2</cp:revision>
  <dc:subject>11+</dc:subject>
  <dc:title>US SF - PROMISSORY NOTE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ClearView~NY003701084~~117784-0002~</vt:lpwstr>
  </property>
  <property fmtid="{D5CDD505-2E9C-101B-9397-08002B2CF9AE}" pid="3" name="ClearView IsDirty">
    <vt:lpwstr/>
  </property>
</Properties>
</file>