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abbedL7"/>
        <w:numPr>
          <w:ilvl w:val="0"/>
          <w:numId w:val="0"/>
        </w:numPr>
        <w:ind w:hanging="0" w:start="0"/>
        <w:jc w:val="end"/>
        <w:rPr/>
      </w:pPr>
      <w:r>
        <w:rPr/>
        <w:t>EXHIBIT A</w:t>
      </w:r>
    </w:p>
    <w:p>
      <w:pPr>
        <w:pStyle w:val="Normal"/>
        <w:rPr/>
      </w:pPr>
      <w:r>
        <w:rPr/>
      </w:r>
    </w:p>
    <w:p>
      <w:pPr>
        <w:pStyle w:val="Normal"/>
        <w:rPr/>
      </w:pPr>
      <w:r>
        <w:rPr/>
      </w:r>
    </w:p>
    <w:p>
      <w:pPr>
        <w:pStyle w:val="TabbedL7"/>
        <w:numPr>
          <w:ilvl w:val="0"/>
          <w:numId w:val="0"/>
        </w:numPr>
        <w:ind w:hanging="0" w:start="0"/>
        <w:jc w:val="center"/>
        <w:rPr/>
      </w:pPr>
      <w:r>
        <w:rPr/>
        <w:t>UCC-1 FINANCING STATEMENT</w:t>
      </w:r>
    </w:p>
    <w:p>
      <w:pPr>
        <w:pStyle w:val="Normal"/>
        <w:jc w:val="center"/>
        <w:rPr/>
      </w:pPr>
      <w:r>
        <w:rPr/>
        <w:t>(Continuation Pages)</w:t>
      </w:r>
    </w:p>
    <w:p>
      <w:pPr>
        <w:pStyle w:val="Normal"/>
        <w:rPr/>
      </w:pPr>
      <w:r>
        <w:rPr/>
      </w:r>
    </w:p>
    <w:p>
      <w:pPr>
        <w:pStyle w:val="Normal"/>
        <w:rPr/>
      </w:pPr>
      <w:r>
        <w:rPr>
          <w:u w:val="single"/>
        </w:rPr>
        <w:t>Debtor:</w:t>
      </w:r>
      <w:r>
        <w:rPr/>
        <w:tab/>
        <w:tab/>
        <w:tab/>
        <w:tab/>
        <w:tab/>
        <w:tab/>
        <w:tab/>
      </w:r>
      <w:r>
        <w:rPr>
          <w:u w:val="single"/>
        </w:rPr>
        <w:t>Secured Party</w:t>
      </w:r>
    </w:p>
    <w:p>
      <w:pPr>
        <w:pStyle w:val="LetterClosing"/>
        <w:rPr>
          <w:u w:val="single"/>
        </w:rPr>
      </w:pPr>
      <w:r>
        <w:rPr>
          <w:u w:val="single"/>
        </w:rPr>
      </w:r>
    </w:p>
    <w:p>
      <w:pPr>
        <w:pStyle w:val="LetterClosing"/>
        <w:rPr/>
      </w:pPr>
      <w:r>
        <w:rPr/>
        <w:t>Salmon Energy LLC</w:t>
        <w:tab/>
        <w:tab/>
        <w:tab/>
        <w:tab/>
        <w:tab/>
        <w:tab/>
        <w:t>Pegasus Power Partners, LLC</w:t>
      </w:r>
    </w:p>
    <w:p>
      <w:pPr>
        <w:pStyle w:val="Normal"/>
        <w:rPr/>
      </w:pPr>
      <w:r>
        <w:rPr/>
        <w:t>c/o Delta Power Company, LLC</w:t>
        <w:tab/>
        <w:tab/>
        <w:tab/>
        <w:tab/>
        <w:t>c/o Delta Power Company, LLC</w:t>
      </w:r>
      <w:r>
        <w:rPr>
          <w:color w:val="000000"/>
        </w:rPr>
        <w:br/>
      </w:r>
      <w:r>
        <w:rPr/>
        <w:t>89 Headquarters Plaza</w:t>
        <w:tab/>
        <w:tab/>
        <w:tab/>
        <w:tab/>
        <w:tab/>
        <w:tab/>
        <w:t>89 Headquarters Plaza</w:t>
      </w:r>
    </w:p>
    <w:p>
      <w:pPr>
        <w:pStyle w:val="Normal"/>
        <w:rPr/>
      </w:pPr>
      <w:r>
        <w:rPr/>
        <w:t>North Tower, 14</w:t>
      </w:r>
      <w:r>
        <w:rPr>
          <w:vertAlign w:val="superscript"/>
        </w:rPr>
        <w:t>th</w:t>
      </w:r>
      <w:r>
        <w:rPr/>
        <w:t xml:space="preserve"> Floor</w:t>
        <w:tab/>
        <w:tab/>
        <w:tab/>
        <w:t xml:space="preserve">                        North Tower, 14</w:t>
      </w:r>
      <w:r>
        <w:rPr>
          <w:vertAlign w:val="superscript"/>
        </w:rPr>
        <w:t>th</w:t>
      </w:r>
      <w:r>
        <w:rPr/>
        <w:t xml:space="preserve"> Floor</w:t>
      </w:r>
    </w:p>
    <w:p>
      <w:pPr>
        <w:pStyle w:val="Normal"/>
        <w:rPr/>
      </w:pPr>
      <w:r>
        <w:rPr/>
        <w:t>Morristown, NJ 07960</w:t>
        <w:tab/>
        <w:tab/>
        <w:tab/>
        <w:tab/>
        <w:tab/>
        <w:t>Morristown, NJ 07960</w:t>
        <w:tab/>
      </w:r>
    </w:p>
    <w:p>
      <w:pPr>
        <w:pStyle w:val="Centered"/>
        <w:spacing w:lineRule="auto" w:line="240" w:before="0" w:after="0"/>
        <w:rPr/>
      </w:pPr>
      <w:r>
        <w:rPr/>
      </w:r>
    </w:p>
    <w:p>
      <w:pPr>
        <w:pStyle w:val="TabbedL7"/>
        <w:numPr>
          <w:ilvl w:val="0"/>
          <w:numId w:val="0"/>
        </w:numPr>
        <w:ind w:hanging="0" w:start="0"/>
        <w:jc w:val="center"/>
        <w:rPr/>
      </w:pPr>
      <w:r>
        <w:rPr/>
      </w:r>
    </w:p>
    <w:p>
      <w:pPr>
        <w:pStyle w:val="Normal"/>
        <w:rPr/>
      </w:pPr>
      <w:r>
        <w:rPr/>
      </w:r>
    </w:p>
    <w:p>
      <w:pPr>
        <w:pStyle w:val="Normal"/>
        <w:ind w:firstLine="720" w:end="0"/>
        <w:jc w:val="both"/>
        <w:rPr/>
      </w:pPr>
      <w:r>
        <w:rPr/>
        <w:t xml:space="preserve">This financing statement covers all of the following property of the debtor named on the attached UCC-1 Financing Statement (the </w:t>
      </w:r>
      <w:r>
        <w:rPr>
          <w:b/>
          <w:bCs/>
          <w:i/>
          <w:iCs/>
        </w:rPr>
        <w:t>Debtor</w:t>
      </w:r>
      <w:r>
        <w:rPr/>
        <w:t xml:space="preserve">), both now owned and existing and hereafter owned, existing, acquired, created and arising, and all of Debtor’s both now existing and hereafter acquired rights, title and interest in and to the following property (all such property described below and such rights, title and interest being herein collectively called, the </w:t>
      </w:r>
      <w:r>
        <w:rPr>
          <w:b/>
          <w:bCs/>
          <w:i/>
          <w:iCs/>
        </w:rPr>
        <w:t>Collateral</w:t>
      </w:r>
      <w:r>
        <w:rPr/>
        <w:t>):</w:t>
      </w:r>
    </w:p>
    <w:p>
      <w:pPr>
        <w:pStyle w:val="BodyText"/>
        <w:ind w:hanging="0" w:end="0"/>
        <w:rPr>
          <w:color w:val="000000"/>
        </w:rPr>
      </w:pPr>
      <w:r>
        <w:rPr>
          <w:color w:val="000000"/>
        </w:rPr>
      </w:r>
    </w:p>
    <w:p>
      <w:pPr>
        <w:pStyle w:val="a"/>
        <w:rPr>
          <w:rFonts w:ascii="Times New Roman" w:hAnsi="Times New Roman" w:cs="Times New Roman"/>
          <w:sz w:val="24"/>
        </w:rPr>
      </w:pPr>
      <w:r>
        <w:rPr>
          <w:rFonts w:cs="Times New Roman" w:ascii="Times New Roman" w:hAnsi="Times New Roman"/>
          <w:sz w:val="24"/>
        </w:rPr>
        <w:t>(a)</w:t>
        <w:tab/>
        <w:t>the following agreements and documents:</w:t>
      </w:r>
    </w:p>
    <w:p>
      <w:pPr>
        <w:pStyle w:val="i"/>
        <w:rPr>
          <w:rFonts w:ascii="Times New Roman" w:hAnsi="Times New Roman" w:cs="Times New Roman"/>
          <w:sz w:val="24"/>
        </w:rPr>
      </w:pPr>
      <w:r>
        <w:rPr>
          <w:rFonts w:cs="Times New Roman" w:ascii="Times New Roman" w:hAnsi="Times New Roman"/>
          <w:sz w:val="24"/>
        </w:rPr>
        <w:tab/>
        <w:t>(i)</w:t>
        <w:tab/>
        <w:t>the Turbine Contract;</w:t>
      </w:r>
    </w:p>
    <w:p>
      <w:pPr>
        <w:pStyle w:val="i"/>
        <w:tabs>
          <w:tab w:val="clear" w:pos="1296"/>
        </w:tabs>
        <w:ind w:hanging="450" w:end="0"/>
        <w:rPr>
          <w:rFonts w:ascii="Times New Roman" w:hAnsi="Times New Roman" w:cs="Times New Roman"/>
          <w:sz w:val="24"/>
        </w:rPr>
      </w:pPr>
      <w:r>
        <w:rPr>
          <w:rFonts w:cs="Times New Roman" w:ascii="Times New Roman" w:hAnsi="Times New Roman"/>
          <w:sz w:val="24"/>
        </w:rPr>
        <w:t>(ii)</w:t>
        <w:tab/>
        <w:t>the Additional Project Documents;</w:t>
      </w:r>
    </w:p>
    <w:p>
      <w:pPr>
        <w:pStyle w:val="i"/>
        <w:tabs>
          <w:tab w:val="clear" w:pos="1296"/>
        </w:tabs>
        <w:ind w:hanging="450" w:end="0"/>
        <w:rPr/>
      </w:pPr>
      <w:r>
        <w:rPr>
          <w:rFonts w:cs="Times New Roman" w:ascii="Times New Roman" w:hAnsi="Times New Roman"/>
          <w:sz w:val="24"/>
        </w:rPr>
        <w:t>(iii)</w:t>
        <w:tab/>
        <w:t>all other contracts relating to the Project to which Salmon Energy LLC (</w:t>
      </w:r>
      <w:r>
        <w:rPr>
          <w:rFonts w:cs="Times New Roman" w:ascii="Times New Roman" w:hAnsi="Times New Roman"/>
          <w:b/>
          <w:bCs/>
          <w:i/>
          <w:iCs/>
          <w:sz w:val="24"/>
        </w:rPr>
        <w:t>Salmon Energy</w:t>
      </w:r>
      <w:r>
        <w:rPr>
          <w:rFonts w:cs="Times New Roman" w:ascii="Times New Roman" w:hAnsi="Times New Roman"/>
          <w:sz w:val="24"/>
        </w:rPr>
        <w:t>) now is or hereafter becomes a party; and</w:t>
      </w:r>
    </w:p>
    <w:p>
      <w:pPr>
        <w:pStyle w:val="i"/>
        <w:tabs>
          <w:tab w:val="clear" w:pos="1296"/>
        </w:tabs>
        <w:ind w:hanging="450" w:end="0"/>
        <w:rPr>
          <w:rFonts w:ascii="Times New Roman" w:hAnsi="Times New Roman" w:cs="Times New Roman"/>
          <w:sz w:val="24"/>
        </w:rPr>
      </w:pPr>
      <w:r>
        <w:rPr>
          <w:rFonts w:cs="Times New Roman" w:ascii="Times New Roman" w:hAnsi="Times New Roman"/>
          <w:sz w:val="24"/>
        </w:rPr>
        <w:t>(iv)</w:t>
        <w:tab/>
        <w:t>to the extent assignable, each and every bond, indemnity, warranty, guaranty and other similar document relating to the performance by any party (except Salmon Energy) of any of the foregoing;</w:t>
      </w:r>
    </w:p>
    <w:p>
      <w:pPr>
        <w:pStyle w:val="BodyText"/>
        <w:spacing w:lineRule="auto" w:line="240"/>
        <w:ind w:hanging="0" w:start="720" w:end="0"/>
        <w:rPr/>
      </w:pPr>
      <w:r>
        <w:rPr>
          <w:color w:val="000000"/>
        </w:rPr>
        <w:t xml:space="preserve">as each such agreement, contract and document may be amended, supplemented, modified, renewed and in effect from time to time (said agreements, contracts and documents, being, individually, a </w:t>
      </w:r>
      <w:r>
        <w:rPr>
          <w:b/>
          <w:i/>
          <w:color w:val="000000"/>
        </w:rPr>
        <w:t>Salmon Energy Assigned Agreement</w:t>
      </w:r>
      <w:r>
        <w:rPr>
          <w:color w:val="000000"/>
        </w:rPr>
        <w:t xml:space="preserve">, and, collectively, the </w:t>
      </w:r>
      <w:r>
        <w:rPr>
          <w:b/>
          <w:i/>
          <w:color w:val="000000"/>
        </w:rPr>
        <w:t>Salmon Energy Assigned Agreements</w:t>
      </w:r>
      <w:r>
        <w:rPr>
          <w:color w:val="000000"/>
        </w:rPr>
        <w:t>), including, without limitation:  (i) all rights of Salmon Energy to receive moneys due and to become due under or pursuant to the Salmon Energy Assigned Agreements, (ii) all rights of Salmon Energy to receive proceeds of any insurance, bond, indemnity, warranty or guaranty with respect to the Salmon Energy Assigned Agreements, (iii) all claims of Salmon Energy for damages arising out of or for breach of or default under the Salmon Energy Assigned Agreements and (iv) all rights of Salmon Energy to terminate, amend, supplement, modify or waive performance under the Salmon Energy Assigned Agreements, to perform thereunder and to compel performance; and, to the extent not included in the foregoing, all proceeds, products, revenues, issues, profits, income, benefits, accessions, additions, substitutions and replacements of and to any and all of the foregoing;</w:t>
      </w:r>
    </w:p>
    <w:p>
      <w:pPr>
        <w:pStyle w:val="BodyText"/>
        <w:spacing w:lineRule="auto" w:line="240"/>
        <w:ind w:hanging="0" w:start="720" w:end="0"/>
        <w:rPr>
          <w:color w:val="000000"/>
        </w:rPr>
      </w:pPr>
      <w:r>
        <w:rPr>
          <w:color w:val="000000"/>
        </w:rPr>
      </w:r>
    </w:p>
    <w:p>
      <w:pPr>
        <w:pStyle w:val="a"/>
        <w:rPr/>
      </w:pPr>
      <w:r>
        <w:rPr>
          <w:rFonts w:cs="Times New Roman" w:ascii="Times New Roman" w:hAnsi="Times New Roman"/>
          <w:sz w:val="24"/>
        </w:rPr>
        <w:t>(b)</w:t>
        <w:tab/>
        <w:t>all Governmental Approvals now or hereafter held in the name, or for the benefit, of Salmon Energy (</w:t>
      </w:r>
      <w:r>
        <w:rPr>
          <w:rFonts w:cs="Times New Roman" w:ascii="Times New Roman" w:hAnsi="Times New Roman"/>
          <w:b/>
          <w:i/>
          <w:sz w:val="24"/>
        </w:rPr>
        <w:t>provided</w:t>
      </w:r>
      <w:r>
        <w:rPr>
          <w:rFonts w:cs="Times New Roman" w:ascii="Times New Roman" w:hAnsi="Times New Roman"/>
          <w:sz w:val="24"/>
        </w:rPr>
        <w:t xml:space="preserve"> that any Governmental Approval which by its terms or by operation of law would become void, voidable, terminable or revocable if mortgaged, pledged or assigned or if a security interest therein was granted is expressly excepted and excluded from this financing statement to the extent necessary so as to avoid such voidness, avoidability, terminability or revocability);</w:t>
      </w:r>
    </w:p>
    <w:p>
      <w:pPr>
        <w:pStyle w:val="a"/>
        <w:rPr/>
      </w:pPr>
      <w:r>
        <w:rPr>
          <w:rFonts w:cs="Times New Roman" w:ascii="Times New Roman" w:hAnsi="Times New Roman"/>
          <w:sz w:val="24"/>
        </w:rPr>
        <w:t>(c)</w:t>
        <w:tab/>
        <w:t xml:space="preserve">all accounts and general intangibles (each as defined in the Uniform Commercial Code) of Salmon Energy constituting any right to the payment of moneys, including, without limitation, all moneys due and to become due to Salmon Energy in respect of any loans or advances or for Inventory or Equipment or other goods sold or leased or for services rendered, all moneys due and to become due to Salmon Energy under any guarantee (including a letter of credit) of the purchase price of Inventory or Equipment sold by Salmon Energy and all tax refunds (such accounts, general intangibles and moneys due and to become due being herein called collectively </w:t>
      </w:r>
      <w:r>
        <w:rPr>
          <w:rFonts w:cs="Times New Roman" w:ascii="Times New Roman" w:hAnsi="Times New Roman"/>
          <w:b/>
          <w:i/>
          <w:sz w:val="24"/>
        </w:rPr>
        <w:t>Accounts Receivable</w:t>
      </w:r>
      <w:r>
        <w:rPr>
          <w:rFonts w:cs="Times New Roman" w:ascii="Times New Roman" w:hAnsi="Times New Roman"/>
          <w:sz w:val="24"/>
        </w:rPr>
        <w:t>);</w:t>
      </w:r>
    </w:p>
    <w:p>
      <w:pPr>
        <w:pStyle w:val="a"/>
        <w:rPr/>
      </w:pPr>
      <w:r>
        <w:rPr>
          <w:rFonts w:cs="Times New Roman" w:ascii="Times New Roman" w:hAnsi="Times New Roman"/>
          <w:sz w:val="24"/>
        </w:rPr>
        <w:t>(d)</w:t>
        <w:tab/>
        <w:t xml:space="preserve">all instruments, chattel paper or letters of credit (each as defined in the Uniform Commercial Code) of Salmon Energy evidencing, representing, arising from or existing in respect of, relating to, securing or otherwise supporting the payment of, any of the Accounts Receivable, including, without limitation, promissory notes, drafts, bills of exchange and trade acceptances (herein collectively called </w:t>
      </w:r>
      <w:r>
        <w:rPr>
          <w:rFonts w:cs="Times New Roman" w:ascii="Times New Roman" w:hAnsi="Times New Roman"/>
          <w:b/>
          <w:i/>
          <w:sz w:val="24"/>
        </w:rPr>
        <w:t>Instruments</w:t>
      </w:r>
      <w:r>
        <w:rPr>
          <w:rFonts w:cs="Times New Roman" w:ascii="Times New Roman" w:hAnsi="Times New Roman"/>
          <w:sz w:val="24"/>
        </w:rPr>
        <w:t>);</w:t>
      </w:r>
    </w:p>
    <w:p>
      <w:pPr>
        <w:pStyle w:val="a"/>
        <w:rPr>
          <w:rFonts w:ascii="Times New Roman" w:hAnsi="Times New Roman" w:cs="Times New Roman"/>
          <w:sz w:val="24"/>
        </w:rPr>
      </w:pPr>
      <w:r>
        <w:rPr>
          <w:rFonts w:cs="Times New Roman" w:ascii="Times New Roman" w:hAnsi="Times New Roman"/>
          <w:sz w:val="24"/>
        </w:rPr>
        <w:t>(e)</w:t>
        <w:tab/>
        <w:t>all other accounts, instruments, chattel paper or general intangibles of Salmon Energy not constituting Accounts Receivable;</w:t>
      </w:r>
    </w:p>
    <w:p>
      <w:pPr>
        <w:pStyle w:val="a"/>
        <w:rPr/>
      </w:pPr>
      <w:r>
        <w:rPr>
          <w:rFonts w:cs="Times New Roman" w:ascii="Times New Roman" w:hAnsi="Times New Roman"/>
          <w:sz w:val="24"/>
        </w:rPr>
        <w:t>(f)</w:t>
        <w:tab/>
        <w:t xml:space="preserve">all fixtures and equipment (as such term is defined in the Uniform Commercial Code) of Salmon Energy including, without limitation, all machinery, apparatus, installation facilities and other tangible personal property of Salmon Energy (herein collectively called </w:t>
      </w:r>
      <w:r>
        <w:rPr>
          <w:rFonts w:cs="Times New Roman" w:ascii="Times New Roman" w:hAnsi="Times New Roman"/>
          <w:b/>
          <w:i/>
          <w:sz w:val="24"/>
        </w:rPr>
        <w:t>Equipment</w:t>
      </w:r>
      <w:r>
        <w:rPr>
          <w:rFonts w:cs="Times New Roman" w:ascii="Times New Roman" w:hAnsi="Times New Roman"/>
          <w:sz w:val="24"/>
        </w:rPr>
        <w:t>);</w:t>
      </w:r>
    </w:p>
    <w:p>
      <w:pPr>
        <w:pStyle w:val="a"/>
        <w:rPr/>
      </w:pPr>
      <w:r>
        <w:rPr>
          <w:rFonts w:cs="Times New Roman" w:ascii="Times New Roman" w:hAnsi="Times New Roman"/>
          <w:sz w:val="24"/>
        </w:rPr>
        <w:t>(g)</w:t>
        <w:tab/>
        <w:t xml:space="preserve">all inventory (as such term is defined in the Uniform Commercial Code) of Salmon Energy including, without limitation, in all of its forms, wherever located: (i) fuel, tires and other spare parts inventory, consumable supplies inventory and maintenance materials inventory and raw materials and work in progress therefor, finished goods thereof, and materials used or consumed in the manufacture or production thereof, (ii) goods in which Salmon Energy has an interest in mass or a joint or other interest or right of any kind and (iii) goods which are returned to or repossessed by Salmon Energy, and all accessions thereto and products thereof and documentation therefor (herein collectively called </w:t>
      </w:r>
      <w:r>
        <w:rPr>
          <w:rFonts w:cs="Times New Roman" w:ascii="Times New Roman" w:hAnsi="Times New Roman"/>
          <w:b/>
          <w:i/>
          <w:sz w:val="24"/>
        </w:rPr>
        <w:t>Inventory</w:t>
      </w:r>
      <w:r>
        <w:rPr>
          <w:rFonts w:cs="Times New Roman" w:ascii="Times New Roman" w:hAnsi="Times New Roman"/>
          <w:sz w:val="24"/>
        </w:rPr>
        <w:t>);</w:t>
      </w:r>
    </w:p>
    <w:p>
      <w:pPr>
        <w:pStyle w:val="a"/>
        <w:rPr/>
      </w:pPr>
      <w:r>
        <w:rPr>
          <w:rFonts w:cs="Times New Roman" w:ascii="Times New Roman" w:hAnsi="Times New Roman"/>
          <w:sz w:val="24"/>
        </w:rPr>
        <w:t>(h)</w:t>
        <w:tab/>
        <w:t xml:space="preserve">all documents of title (as defined in the Uniform Commercial Code) or other receipts of Salmon Energy covering, evidencing or representing Inventory or Equipment (herein collectively called </w:t>
      </w:r>
      <w:r>
        <w:rPr>
          <w:rFonts w:cs="Times New Roman" w:ascii="Times New Roman" w:hAnsi="Times New Roman"/>
          <w:b/>
          <w:i/>
          <w:sz w:val="24"/>
        </w:rPr>
        <w:t>Documents</w:t>
      </w:r>
      <w:r>
        <w:rPr>
          <w:rFonts w:cs="Times New Roman" w:ascii="Times New Roman" w:hAnsi="Times New Roman"/>
          <w:sz w:val="24"/>
        </w:rPr>
        <w:t>);</w:t>
      </w:r>
    </w:p>
    <w:p>
      <w:pPr>
        <w:pStyle w:val="a"/>
        <w:rPr>
          <w:rFonts w:ascii="Times New Roman" w:hAnsi="Times New Roman" w:cs="Times New Roman"/>
          <w:sz w:val="24"/>
        </w:rPr>
      </w:pPr>
      <w:r>
        <w:rPr>
          <w:rFonts w:cs="Times New Roman" w:ascii="Times New Roman" w:hAnsi="Times New Roman"/>
          <w:sz w:val="24"/>
        </w:rPr>
        <w:t>(i)</w:t>
        <w:tab/>
        <w:t>each contract and other agreement of Salmon Energy relating to the sale or other disposition of Inventory or Equipment;</w:t>
      </w:r>
    </w:p>
    <w:p>
      <w:pPr>
        <w:pStyle w:val="a"/>
        <w:rPr>
          <w:rFonts w:ascii="Times New Roman" w:hAnsi="Times New Roman" w:cs="Times New Roman"/>
          <w:sz w:val="24"/>
        </w:rPr>
      </w:pPr>
      <w:r>
        <w:rPr>
          <w:rFonts w:cs="Times New Roman" w:ascii="Times New Roman" w:hAnsi="Times New Roman"/>
          <w:sz w:val="24"/>
        </w:rPr>
        <w:t>(j)</w:t>
        <w:tab/>
        <w:t>all general or special deposit accounts, including any demand, time, savings, passbook or similar account maintained by Salmon Energy with any bank, trust company, savings and loan association, credit union or similar organization, and all money, cash, securities and other properties of Salmon Energy deposited in any such account;</w:t>
      </w:r>
    </w:p>
    <w:p>
      <w:pPr>
        <w:pStyle w:val="a"/>
        <w:rPr>
          <w:rFonts w:ascii="Times New Roman" w:hAnsi="Times New Roman" w:cs="Times New Roman"/>
          <w:sz w:val="24"/>
        </w:rPr>
      </w:pPr>
      <w:r>
        <w:rPr>
          <w:rFonts w:cs="Times New Roman" w:ascii="Times New Roman" w:hAnsi="Times New Roman"/>
          <w:sz w:val="24"/>
        </w:rPr>
        <w:t>(k)</w:t>
        <w:tab/>
        <w:t>all inventions, processes, production methods, proprietary information, know</w:t>
        <w:noBreakHyphen/>
        <w:t>how and trade secrets used in or relating to the Project, and all licenses or user or other agreements granted to Salmon Energy with respect to any of the foregoing in each case whether now or hereafter owned or used;</w:t>
      </w:r>
    </w:p>
    <w:p>
      <w:pPr>
        <w:pStyle w:val="a"/>
        <w:rPr>
          <w:rFonts w:ascii="Times New Roman" w:hAnsi="Times New Roman" w:cs="Times New Roman"/>
          <w:sz w:val="24"/>
        </w:rPr>
      </w:pPr>
      <w:r>
        <w:rPr>
          <w:rFonts w:cs="Times New Roman" w:ascii="Times New Roman" w:hAnsi="Times New Roman"/>
          <w:sz w:val="24"/>
        </w:rPr>
        <w:t>(l)</w:t>
        <w:tab/>
        <w:t>all information, customer lists, identification of suppliers and subcontractors, data, plans, blueprints, designs, recorded knowledge, surveys, architectural, structural, mechanical and engineering plans and specifications, studies, reports and drawings, test reports, manuals, material standards, processing standards, performance standards, catalogs, computer and automatic machinery software and programs, all accounting information and all media in which or on which any information or knowledge or data or records may be recorded or stored and all computer programs used for the compilation or printout of such information, knowledge, records or data, prepared by or on behalf of Salmon Energy including, without limitation, for the improvement or development of the Project or any part thereof;</w:t>
      </w:r>
    </w:p>
    <w:p>
      <w:pPr>
        <w:pStyle w:val="a"/>
        <w:rPr>
          <w:rFonts w:ascii="Times New Roman" w:hAnsi="Times New Roman" w:cs="Times New Roman"/>
          <w:sz w:val="24"/>
        </w:rPr>
      </w:pPr>
      <w:r>
        <w:rPr>
          <w:rFonts w:cs="Times New Roman" w:ascii="Times New Roman" w:hAnsi="Times New Roman"/>
          <w:sz w:val="24"/>
        </w:rPr>
        <w:t>(m)</w:t>
        <w:tab/>
        <w:t>all causes of action, claims and warranties now or hereafter owned or acquired by Salmon Energy in respect of any of the items listed in (k) or (l) hereof;</w:t>
      </w:r>
    </w:p>
    <w:p>
      <w:pPr>
        <w:pStyle w:val="a"/>
        <w:rPr>
          <w:rFonts w:ascii="Times New Roman" w:hAnsi="Times New Roman" w:cs="Times New Roman"/>
          <w:sz w:val="24"/>
        </w:rPr>
      </w:pPr>
      <w:r>
        <w:rPr>
          <w:rFonts w:cs="Times New Roman" w:ascii="Times New Roman" w:hAnsi="Times New Roman"/>
          <w:sz w:val="24"/>
        </w:rPr>
        <w:t>(n)</w:t>
        <w:tab/>
        <w:t>all rights, claims and benefits of Salmon Energy against any Person arising out of, relating to or in connection with Inventory or Equipment purchased by Salmon Energy including, without limitation, any such rights, claims or benefits against any Person storing or transporting such Inventory or Equipment;</w:t>
      </w:r>
    </w:p>
    <w:p>
      <w:pPr>
        <w:pStyle w:val="a"/>
        <w:rPr/>
      </w:pPr>
      <w:r>
        <w:rPr>
          <w:rFonts w:cs="Times New Roman" w:ascii="Times New Roman" w:hAnsi="Times New Roman"/>
          <w:sz w:val="24"/>
        </w:rPr>
        <w:t>(o)</w:t>
        <w:tab/>
        <w:t>all insurance policies, whether owned by or payable to Salmon Energy, insuring against any risks whatsoever (including, without limitation, casualty, property damage, liability and death), including, without limitation, all such policies required to be maintained under §8.14 of the Note Purchase Agreement with respect to the Turbines, the Project or other Property of Salmon Energy, all loss proceeds and other amounts payable to Salmon Energy thereunder, any indemnity, warranty or guaranty in respect of the Property insured thereby, and all eminent domain or similar proceeds or awards with respect thereto and all other rights of Salmon Energy with respect thereto</w:t>
      </w:r>
      <w:r>
        <w:rPr/>
        <w:t xml:space="preserve"> </w:t>
      </w:r>
      <w:r>
        <w:rPr>
          <w:rFonts w:cs="Times New Roman" w:ascii="Times New Roman" w:hAnsi="Times New Roman"/>
          <w:sz w:val="24"/>
        </w:rPr>
        <w:t xml:space="preserve">and all rights of Salmon Energy to receive proceeds of any insurance, bond, indemnity, warranty or guaranty; and </w:t>
      </w:r>
    </w:p>
    <w:p>
      <w:pPr>
        <w:pStyle w:val="OutlineL1"/>
        <w:numPr>
          <w:ilvl w:val="0"/>
          <w:numId w:val="0"/>
        </w:numPr>
        <w:tabs>
          <w:tab w:val="left" w:pos="720" w:leader="none"/>
        </w:tabs>
        <w:ind w:hanging="720" w:start="720" w:end="0"/>
        <w:rPr/>
      </w:pPr>
      <w:r>
        <w:rPr/>
        <w:t>(p)</w:t>
        <w:tab/>
        <w:t>all other tangible and intangible property of Salmon Energy including, without limitation, all proceeds, products, rents, revenues, issues, profits, royalties, income, benefits, accessions, additions, substitutions and replacements of and to any of the Property of Salmon Energy described in clauses (a) through (o) (including, without limitation, any proceeds of insurance thereon and all causes of action with respect thereto) and any indemnity, warranty or guaranty in respect of the Project or of any of the foregoing, and, to the extent related to any Property described in said clauses or such proceeds, products and accessions, all books, correspondence, credit files, records, invoices and other papers, including, without limitation, all tapes, cards, computer runs and other papers and documents of Salmon Energy or any computer bureau or service company from time to time acting for Salmon Energy.</w:t>
      </w:r>
    </w:p>
    <w:p>
      <w:pPr>
        <w:pStyle w:val="Normal"/>
        <w:rPr/>
      </w:pPr>
      <w:r>
        <w:rPr/>
        <w:t>As used herein:</w:t>
      </w:r>
    </w:p>
    <w:p>
      <w:pPr>
        <w:pStyle w:val="Normal"/>
        <w:rPr/>
      </w:pPr>
      <w:r>
        <w:rPr/>
      </w:r>
    </w:p>
    <w:p>
      <w:pPr>
        <w:pStyle w:val="Normal"/>
        <w:spacing w:before="0" w:after="240"/>
        <w:ind w:firstLine="720" w:end="0"/>
        <w:rPr/>
      </w:pPr>
      <w:r>
        <w:rPr>
          <w:b/>
          <w:i/>
        </w:rPr>
        <w:t>Additional Project Document</w:t>
      </w:r>
      <w:r>
        <w:rPr>
          <w:b/>
          <w:bCs/>
        </w:rPr>
        <w:t>:</w:t>
      </w:r>
      <w:r>
        <w:rPr/>
        <w:t xml:space="preserve">  Any contract or agreement, entered into by Pegasus Power Partners, LLC after the date hereof, other than (i) any purchase order for goods or services, (ii) the Prospective Project Documents, (iii) the Anticipated Development Contracts, and (iv) a Project Site Contract, which, in the case of (i), (ii) and (iv) above, requires payment of more than $175,000 in any year (or, together with all such other contracts or agreements theretofore entered into, more than $2.5 million in the aggregate in any year).</w:t>
      </w:r>
    </w:p>
    <w:p>
      <w:pPr>
        <w:pStyle w:val="Normal"/>
        <w:spacing w:before="0" w:after="240"/>
        <w:ind w:firstLine="720" w:end="0"/>
        <w:rPr>
          <w:b/>
          <w:bCs/>
          <w:i/>
          <w:i/>
          <w:iCs/>
        </w:rPr>
      </w:pPr>
      <w:r>
        <w:rPr>
          <w:b/>
          <w:i/>
        </w:rPr>
        <w:t>Anticipated Development Contract</w:t>
      </w:r>
      <w:r>
        <w:rPr>
          <w:b/>
          <w:bCs/>
        </w:rPr>
        <w:t>:</w:t>
      </w:r>
      <w:r>
        <w:rPr/>
        <w:t xml:space="preserve"> means any of the following types of contracts relating to Project Development, in each case including any support documents related thereto: (a) an operations and maintenance agreement, (b) a fuel supply or transportation agreement, (c) a power purchase agreement, tolling arrangement or other agreement relating to the sale of power and (d) an engineering, procurement and construction contract.</w:t>
      </w:r>
    </w:p>
    <w:p>
      <w:pPr>
        <w:pStyle w:val="Normal"/>
        <w:ind w:firstLine="720" w:end="0"/>
        <w:rPr/>
      </w:pPr>
      <w:r>
        <w:rPr>
          <w:b/>
          <w:bCs/>
          <w:i/>
          <w:iCs/>
        </w:rPr>
        <w:t>Governmental Approval(s)</w:t>
      </w:r>
      <w:r>
        <w:rPr/>
        <w:t xml:space="preserve"> shall mean all approvals, permits, waivers, exemptions, consents, variances, franchises, registrations, authorizations, licenses or similar orders of, or from, any governmental or any state, department, district or other political subdivision thereof or governmental body, agency, authority, department, commission (including without limitation any taxing authority or political subdivision) autonomous regional corporation or other entity or instrumentality exercising executive, legislative, judicial, regulatory or administrative functions of or pertaining to government.</w:t>
      </w:r>
    </w:p>
    <w:p>
      <w:pPr>
        <w:pStyle w:val="Normal"/>
        <w:rPr/>
      </w:pPr>
      <w:r>
        <w:rPr/>
      </w:r>
    </w:p>
    <w:p>
      <w:pPr>
        <w:pStyle w:val="Normal"/>
        <w:ind w:firstLine="720" w:end="0"/>
        <w:rPr>
          <w:b/>
          <w:bCs/>
          <w:i/>
          <w:i/>
          <w:iCs/>
        </w:rPr>
      </w:pPr>
      <w:r>
        <w:rPr>
          <w:b/>
          <w:bCs/>
          <w:i/>
          <w:iCs/>
        </w:rPr>
        <w:t>Note Purchase Agreement</w:t>
      </w:r>
      <w:r>
        <w:rPr>
          <w:b/>
          <w:bCs/>
        </w:rPr>
        <w:t xml:space="preserve"> </w:t>
      </w:r>
      <w:r>
        <w:rPr/>
        <w:t>means that certain agreement dated as of April 26, 2001 between Pegasus Power Partners, LLC and the Purchasers party thereto, pursuant to which Pegasus Power Partners, LLC has agreed to sell, and the Purchasers have agreed, subject to the terms and conditions set forth therein, to purchase, the Notes (as therein defined).</w:t>
      </w:r>
    </w:p>
    <w:p>
      <w:pPr>
        <w:pStyle w:val="Normal"/>
        <w:ind w:firstLine="720" w:end="0"/>
        <w:rPr>
          <w:b/>
          <w:bCs/>
          <w:i/>
          <w:i/>
          <w:iCs/>
        </w:rPr>
      </w:pPr>
      <w:r>
        <w:rPr>
          <w:b/>
          <w:bCs/>
          <w:i/>
          <w:iCs/>
        </w:rPr>
      </w:r>
    </w:p>
    <w:p>
      <w:pPr>
        <w:pStyle w:val="Normal"/>
        <w:ind w:firstLine="720" w:end="0"/>
        <w:rPr/>
      </w:pPr>
      <w:r>
        <w:rPr>
          <w:b/>
          <w:bCs/>
          <w:i/>
          <w:iCs/>
        </w:rPr>
        <w:t>Person</w:t>
      </w:r>
      <w:r>
        <w:rPr/>
        <w:t xml:space="preserve"> shall mean any individual, cooperative, corporation, association, organization, partnership, trust or estate or government (or any agency or political subdivision thereof) or any other entity.</w:t>
      </w:r>
    </w:p>
    <w:p>
      <w:pPr>
        <w:pStyle w:val="Normal"/>
        <w:ind w:firstLine="720" w:end="0"/>
        <w:rPr/>
      </w:pPr>
      <w:r>
        <w:rPr/>
      </w:r>
    </w:p>
    <w:p>
      <w:pPr>
        <w:pStyle w:val="Normal"/>
        <w:ind w:firstLine="720" w:end="0"/>
        <w:rPr/>
      </w:pPr>
      <w:r>
        <w:rPr>
          <w:b/>
          <w:bCs/>
          <w:i/>
          <w:iCs/>
        </w:rPr>
        <w:t>Potential Project Site:</w:t>
      </w:r>
      <w:r>
        <w:rPr/>
        <w:t xml:space="preserve"> Any site identified by Salmon Energy as a site for Project Development.</w:t>
      </w:r>
    </w:p>
    <w:p>
      <w:pPr>
        <w:pStyle w:val="Normal"/>
        <w:ind w:firstLine="720" w:end="0"/>
        <w:rPr/>
      </w:pPr>
      <w:r>
        <w:rPr/>
      </w:r>
    </w:p>
    <w:p>
      <w:pPr>
        <w:pStyle w:val="Normal"/>
        <w:ind w:firstLine="720" w:end="0"/>
        <w:rPr/>
      </w:pPr>
      <w:r>
        <w:rPr>
          <w:b/>
          <w:bCs/>
          <w:i/>
          <w:iCs/>
        </w:rPr>
        <w:t xml:space="preserve">Project </w:t>
      </w:r>
      <w:r>
        <w:rPr/>
        <w:t xml:space="preserve">means (i) acquiring the Turbines pursuant to the terms of the Turbine Contract (the </w:t>
      </w:r>
      <w:r>
        <w:rPr>
          <w:b/>
          <w:bCs/>
          <w:i/>
          <w:iCs/>
        </w:rPr>
        <w:t>Turbine Acquisition</w:t>
      </w:r>
      <w:r>
        <w:rPr/>
        <w:t>); (ii) developing one or more projects for the construction of a generating facility to incorporate one or more of the Turbines (</w:t>
      </w:r>
      <w:r>
        <w:rPr>
          <w:b/>
          <w:bCs/>
          <w:i/>
          <w:iCs/>
        </w:rPr>
        <w:t>Project Development</w:t>
      </w:r>
      <w:r>
        <w:rPr/>
        <w:t>); or (iii) transferring one or more of the Turbines to a third party.</w:t>
      </w:r>
    </w:p>
    <w:p>
      <w:pPr>
        <w:pStyle w:val="Normal"/>
        <w:ind w:firstLine="720" w:end="0"/>
        <w:rPr/>
      </w:pPr>
      <w:r>
        <w:rPr/>
      </w:r>
    </w:p>
    <w:p>
      <w:pPr>
        <w:pStyle w:val="BodyText"/>
        <w:spacing w:lineRule="auto" w:line="240"/>
        <w:ind w:firstLine="720" w:end="0"/>
        <w:rPr>
          <w:b/>
          <w:i/>
          <w:i/>
        </w:rPr>
      </w:pPr>
      <w:r>
        <w:rPr>
          <w:b/>
          <w:bCs/>
          <w:i/>
          <w:iCs/>
        </w:rPr>
        <w:t>Project Development:</w:t>
      </w:r>
      <w:r>
        <w:rPr/>
        <w:t xml:space="preserve"> The development by Salmon Energy or any of its affiliates of a Potential Project Site on which Salmon Energy or any of its affiliates proposes to construct a generating facility incorporating one or more of the Turbines.</w:t>
      </w:r>
    </w:p>
    <w:p>
      <w:pPr>
        <w:pStyle w:val="BodyText"/>
        <w:spacing w:lineRule="auto" w:line="240"/>
        <w:ind w:firstLine="720" w:end="0"/>
        <w:rPr>
          <w:b/>
          <w:i/>
          <w:i/>
        </w:rPr>
      </w:pPr>
      <w:r>
        <w:rPr>
          <w:b/>
          <w:i/>
        </w:rPr>
      </w:r>
    </w:p>
    <w:p>
      <w:pPr>
        <w:pStyle w:val="BodyText"/>
        <w:spacing w:lineRule="auto" w:line="240"/>
        <w:ind w:firstLine="720" w:end="0"/>
        <w:rPr/>
      </w:pPr>
      <w:r>
        <w:rPr>
          <w:b/>
          <w:i/>
        </w:rPr>
        <w:t>Project Site Contract:</w:t>
      </w:r>
      <w:r>
        <w:rPr/>
        <w:t xml:space="preserve">  means any contract relating to real property entered into by Pegasus Power Partners, LLC or Salmon Energy in connection with the development of any Potential Project Site for which an environmental report has been completed by an approved entity.</w:t>
      </w:r>
    </w:p>
    <w:p>
      <w:pPr>
        <w:pStyle w:val="Normal"/>
        <w:rPr/>
      </w:pPr>
      <w:r>
        <w:rPr/>
      </w:r>
    </w:p>
    <w:p>
      <w:pPr>
        <w:pStyle w:val="Normal"/>
        <w:ind w:firstLine="720" w:end="0"/>
        <w:rPr/>
      </w:pPr>
      <w:r>
        <w:rPr>
          <w:b/>
          <w:bCs/>
          <w:i/>
          <w:iCs/>
        </w:rPr>
        <w:t>Property</w:t>
      </w:r>
      <w:r>
        <w:rPr/>
        <w:t xml:space="preserve"> shall mean any interest in any kind of property or asset, whether real, personal or mixed, or tangible or intangible.</w:t>
      </w:r>
    </w:p>
    <w:p>
      <w:pPr>
        <w:pStyle w:val="Normal"/>
        <w:rPr/>
      </w:pPr>
      <w:r>
        <w:rPr/>
      </w:r>
    </w:p>
    <w:p>
      <w:pPr>
        <w:pStyle w:val="Normal"/>
        <w:ind w:firstLine="720" w:end="0"/>
        <w:rPr>
          <w:b/>
          <w:bCs/>
          <w:i/>
          <w:i/>
          <w:iCs/>
        </w:rPr>
      </w:pPr>
      <w:r>
        <w:rPr>
          <w:b/>
          <w:i/>
          <w:color w:val="000000"/>
        </w:rPr>
        <w:t xml:space="preserve">Prospective Project Documents: </w:t>
      </w:r>
      <w:r>
        <w:rPr>
          <w:bCs/>
          <w:iCs/>
          <w:color w:val="000000"/>
        </w:rPr>
        <w:t>means the Turbine Contract and the Amended Salmon LLC Agreement.</w:t>
      </w:r>
    </w:p>
    <w:p>
      <w:pPr>
        <w:pStyle w:val="Normal"/>
        <w:ind w:firstLine="720" w:end="0"/>
        <w:rPr>
          <w:b/>
          <w:bCs/>
          <w:i/>
          <w:i/>
          <w:iCs/>
        </w:rPr>
      </w:pPr>
      <w:r>
        <w:rPr>
          <w:b/>
          <w:bCs/>
          <w:i/>
          <w:iCs/>
        </w:rPr>
      </w:r>
    </w:p>
    <w:p>
      <w:pPr>
        <w:pStyle w:val="Normal"/>
        <w:ind w:firstLine="720" w:end="0"/>
        <w:rPr/>
      </w:pPr>
      <w:r>
        <w:rPr>
          <w:b/>
          <w:bCs/>
          <w:i/>
          <w:iCs/>
        </w:rPr>
        <w:t>Salmon Energy</w:t>
      </w:r>
      <w:r>
        <w:rPr/>
        <w:t xml:space="preserve"> shall mean Salmon Energy LLC, a Delaware limited liability company.</w:t>
      </w:r>
    </w:p>
    <w:p>
      <w:pPr>
        <w:pStyle w:val="Normal"/>
        <w:ind w:firstLine="720" w:end="0"/>
        <w:rPr/>
      </w:pPr>
      <w:r>
        <w:rPr/>
      </w:r>
    </w:p>
    <w:p>
      <w:pPr>
        <w:pStyle w:val="Normal"/>
        <w:ind w:firstLine="720" w:end="0"/>
        <w:rPr/>
      </w:pPr>
      <w:r>
        <w:rPr>
          <w:b/>
          <w:bCs/>
          <w:i/>
          <w:iCs/>
        </w:rPr>
        <w:t>Turbine(</w:t>
      </w:r>
      <w:r>
        <w:rPr>
          <w:b/>
          <w:bCs/>
        </w:rPr>
        <w:t xml:space="preserve">s) </w:t>
      </w:r>
      <w:r>
        <w:rPr/>
        <w:t xml:space="preserve">means the four LM 6000 Enhanced Sprint Gas Turbine Generator Sets as defined in the Turbine Contract.  </w:t>
      </w:r>
    </w:p>
    <w:p>
      <w:pPr>
        <w:pStyle w:val="Normal"/>
        <w:ind w:firstLine="720" w:end="0"/>
        <w:rPr>
          <w:b/>
          <w:bCs/>
          <w:i/>
          <w:i/>
          <w:iCs/>
        </w:rPr>
      </w:pPr>
      <w:r>
        <w:rPr>
          <w:b/>
          <w:bCs/>
          <w:i/>
          <w:iCs/>
        </w:rPr>
      </w:r>
    </w:p>
    <w:p>
      <w:pPr>
        <w:pStyle w:val="Normal"/>
        <w:ind w:firstLine="720" w:end="0"/>
        <w:rPr/>
      </w:pPr>
      <w:r>
        <w:rPr>
          <w:b/>
          <w:bCs/>
          <w:i/>
          <w:iCs/>
        </w:rPr>
        <w:t>Turbine Contract</w:t>
      </w:r>
      <w:r>
        <w:rPr/>
        <w:t xml:space="preserve"> shall mean that certain contract between Salmon Energy LLC, and GE Packaged Power, Inc., a corporation incorporated under the laws of the State of Delaware (the </w:t>
      </w:r>
      <w:r>
        <w:rPr>
          <w:b/>
          <w:bCs/>
          <w:i/>
          <w:iCs/>
        </w:rPr>
        <w:t>Seller</w:t>
      </w:r>
      <w:r>
        <w:rPr/>
        <w:t xml:space="preserve">) pursuant to which the Seller shall sell and Salmon Energy shall purchase four LM 6000 Enhanced Sprint Gas Turbine Generator Sets (as more specifically defined in the Turbine Contract, the </w:t>
      </w:r>
      <w:r>
        <w:rPr>
          <w:b/>
          <w:bCs/>
          <w:i/>
          <w:iCs/>
        </w:rPr>
        <w:t>Turbines</w:t>
      </w:r>
      <w:r>
        <w:rPr/>
        <w:t xml:space="preserve">).  </w:t>
      </w:r>
    </w:p>
    <w:p>
      <w:pPr>
        <w:pStyle w:val="Normal"/>
        <w:ind w:firstLine="720" w:end="0"/>
        <w:rPr/>
      </w:pPr>
      <w:r>
        <w:rPr/>
      </w:r>
    </w:p>
    <w:p>
      <w:pPr>
        <w:pStyle w:val="Normal"/>
        <w:ind w:firstLine="720" w:end="0"/>
        <w:rPr/>
      </w:pPr>
      <w:r>
        <w:rPr>
          <w:b/>
          <w:bCs/>
          <w:i/>
          <w:iCs/>
        </w:rPr>
        <w:t xml:space="preserve">Uniform Commercial Code </w:t>
      </w:r>
      <w:r>
        <w:rPr/>
        <w:t>or UCC means the Uniform Commercial Code as in effect in the State of New York</w:t>
      </w:r>
    </w:p>
    <w:sectPr>
      <w:footerReference w:type="default" r:id="rId2"/>
      <w:footerReference w:type="first" r:id="rId3"/>
      <w:type w:val="nextPage"/>
      <w:pgSz w:w="12240" w:h="15840"/>
      <w:pgMar w:left="1440" w:right="1440" w:gutter="0" w:header="0" w:top="2880" w:footer="1440" w:bottom="149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 w:name="Liberation Sans">
    <w:altName w:val="Arial"/>
    <w:charset w:val="01" w:characterSet="utf-8"/>
    <w:family w:val="swiss"/>
    <w:pitch w:val="variable"/>
  </w:font>
  <w:font w:name="EngravrsRoman BT">
    <w:altName w:val="Century"/>
    <w:charset w:val="00" w:characterSet="windows-1252"/>
    <w:family w:val="roman"/>
    <w:pitch w:val="variable"/>
  </w:font>
  <w:font w:name="Bembo">
    <w:altName w:val="GoudyOlSt BT"/>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zzmpTrailerItem"/>
        <w:rFonts w:ascii="Times New Roman" w:hAnsi="Times New Roman" w:cs="Times New Roman"/>
        <w:caps w:val="false"/>
        <w:smallCaps w:val="false"/>
        <w:color w:val="008000"/>
        <w:sz w:val="18"/>
      </w:rPr>
    </w:pPr>
    <w:r>
      <w:rPr/>
    </w:r>
  </w:p>
  <w:p>
    <w:pPr>
      <w:pStyle w:val="Footer"/>
      <w:rPr/>
    </w:pPr>
    <w:r>
      <w:rPr>
        <w:rStyle w:val="zzmpTrailerItem"/>
        <w:rFonts w:cs="Times New Roman"/>
        <w:caps w:val="false"/>
        <w:smallCaps w:val="false"/>
        <w:color w:val="008000"/>
        <w:sz w:val="18"/>
      </w:rPr>
      <w:fldChar w:fldCharType="begin"/>
    </w:r>
    <w:r>
      <w:rPr>
        <w:rStyle w:val="zzmpTrailerItem"/>
        <w:smallCaps w:val="false"/>
        <w:caps w:val="false"/>
        <w:sz w:val="18"/>
        <w:rFonts w:cs="Times New Roman"/>
        <w:color w:val="008000"/>
      </w:rPr>
      <w:instrText xml:space="preserve"> FILENAME </w:instrText>
    </w:r>
    <w:r>
      <w:rPr>
        <w:rStyle w:val="zzmpTrailerItem"/>
        <w:smallCaps w:val="false"/>
        <w:caps w:val="false"/>
        <w:sz w:val="18"/>
        <w:rFonts w:cs="Times New Roman"/>
        <w:color w:val="008000"/>
      </w:rPr>
      <w:fldChar w:fldCharType="separate"/>
    </w:r>
    <w:r>
      <w:rPr>
        <w:rStyle w:val="zzmpTrailerItem"/>
        <w:smallCaps w:val="false"/>
        <w:caps w:val="false"/>
        <w:sz w:val="18"/>
        <w:rFonts w:cs="Times New Roman"/>
        <w:color w:val="008000"/>
      </w:rPr>
      <w:t>NY003700827.DOC</w:t>
    </w:r>
    <w:r>
      <w:rPr>
        <w:rStyle w:val="zzmpTrailerItem"/>
        <w:smallCaps w:val="false"/>
        <w:caps w:val="false"/>
        <w:sz w:val="18"/>
        <w:rFonts w:cs="Times New Roman"/>
        <w:color w:val="008000"/>
      </w:rPr>
      <w:fldChar w:fldCharType="end"/>
    </w:r>
    <w:r>
      <w:rPr>
        <w:rStyle w:val="zzmpTrailerItem"/>
        <w:rFonts w:cs="Times New Roman"/>
        <w:caps w:val="false"/>
        <w:smallCaps w:val="false"/>
        <w:color w:val="008000"/>
        <w:sz w:val="18"/>
      </w:rPr>
      <w:t xml:space="preserve">  </w:t>
    </w:r>
    <w:r>
      <w:rPr>
        <w:rStyle w:val="zzmpTrailerItem"/>
        <w:rFonts w:cs="Times New Roman"/>
        <w:caps w:val="false"/>
        <w:smallCaps w:val="false"/>
        <w:color w:val="008000"/>
        <w:sz w:val="18"/>
      </w:rPr>
      <w:t>(117784-0002)</w:t>
      <w:tab/>
      <w:tab/>
      <w:t xml:space="preserve">Page </w:t>
    </w:r>
    <w:r>
      <w:rPr>
        <w:rStyle w:val="PageNumber"/>
        <w:smallCaps/>
        <w:sz w:val="18"/>
      </w:rPr>
      <w:fldChar w:fldCharType="begin"/>
    </w:r>
    <w:r>
      <w:rPr>
        <w:rStyle w:val="PageNumber"/>
        <w:smallCaps/>
        <w:sz w:val="18"/>
      </w:rPr>
      <w:instrText xml:space="preserve"> PAGE </w:instrText>
    </w:r>
    <w:r>
      <w:rPr>
        <w:rStyle w:val="PageNumber"/>
        <w:smallCaps/>
        <w:sz w:val="18"/>
      </w:rPr>
      <w:fldChar w:fldCharType="separate"/>
    </w:r>
    <w:r>
      <w:rPr>
        <w:rStyle w:val="PageNumber"/>
        <w:smallCaps/>
        <w:sz w:val="18"/>
      </w:rPr>
      <w:t>6</w:t>
    </w:r>
    <w:r>
      <w:rPr>
        <w:rStyle w:val="PageNumber"/>
        <w:smallCaps/>
        <w:sz w:val="18"/>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720"/>
        </w:tabs>
        <w:ind w:start="720" w:hanging="720"/>
      </w:pPr>
      <w:rPr>
        <w:caps/>
        <w:outline w:val="false"/>
        <w:dstrike w:val="false"/>
        <w:strike w:val="false"/>
        <w:vertAlign w:val="baseline"/>
        <w:position w:val="0"/>
        <w:sz w:val="24"/>
        <w:i w:val="false"/>
        <w:shadow w:val="false"/>
        <w:u w:val="none"/>
        <w:b w:val="false"/>
        <w:vanish w:val="false"/>
        <w:color w:val="auto"/>
      </w:rPr>
    </w:lvl>
    <w:lvl w:ilvl="1">
      <w:start w:val="1"/>
      <w:numFmt w:val="decimal"/>
      <w:lvlText w:val="%2."/>
      <w:lvlJc w:val="start"/>
      <w:pPr>
        <w:tabs>
          <w:tab w:val="num" w:pos="1800"/>
        </w:tabs>
        <w:ind w:start="0" w:firstLine="1440"/>
      </w:pPr>
      <w:rPr>
        <w:smallCaps w:val="false"/>
        <w:caps w:val="false"/>
        <w:outline w:val="false"/>
        <w:dstrike w:val="false"/>
        <w:strike w:val="false"/>
        <w:vertAlign w:val="baseline"/>
        <w:position w:val="0"/>
        <w:sz w:val="24"/>
        <w:i w:val="false"/>
        <w:shadow w:val="false"/>
        <w:u w:val="none"/>
        <w:b w:val="false"/>
        <w:vanish w:val="false"/>
        <w:color w:val="auto"/>
      </w:rPr>
    </w:lvl>
    <w:lvl w:ilvl="2">
      <w:start w:val="1"/>
      <w:numFmt w:val="lowerLetter"/>
      <w:lvlText w:val="(%3)"/>
      <w:lvlJc w:val="start"/>
      <w:pPr>
        <w:tabs>
          <w:tab w:val="num" w:pos="1800"/>
        </w:tabs>
        <w:ind w:start="0" w:firstLine="1440"/>
      </w:pPr>
      <w:rPr>
        <w:smallCaps w:val="false"/>
        <w:caps w:val="false"/>
        <w:outline w:val="false"/>
        <w:dstrike w:val="false"/>
        <w:strike w:val="false"/>
        <w:vertAlign w:val="baseline"/>
        <w:position w:val="0"/>
        <w:sz w:val="24"/>
        <w:i w:val="false"/>
        <w:shadow w:val="false"/>
        <w:u w:val="none"/>
        <w:b w:val="false"/>
        <w:vanish w:val="false"/>
        <w:color w:val="auto"/>
      </w:rPr>
    </w:lvl>
    <w:lvl w:ilvl="3">
      <w:start w:val="1"/>
      <w:numFmt w:val="decimal"/>
      <w:lvlText w:val="(%4)"/>
      <w:lvlJc w:val="start"/>
      <w:pPr>
        <w:tabs>
          <w:tab w:val="num" w:pos="2520"/>
        </w:tabs>
        <w:ind w:start="720" w:firstLine="1440"/>
      </w:pPr>
      <w:rPr>
        <w:smallCaps w:val="false"/>
        <w:caps w:val="false"/>
        <w:outline w:val="false"/>
        <w:dstrike w:val="false"/>
        <w:strike w:val="false"/>
        <w:vertAlign w:val="baseline"/>
        <w:position w:val="0"/>
        <w:sz w:val="24"/>
        <w:i w:val="false"/>
        <w:shadow w:val="false"/>
        <w:u w:val="none"/>
        <w:b w:val="false"/>
        <w:vanish w:val="false"/>
        <w:color w:val="auto"/>
      </w:rPr>
    </w:lvl>
    <w:lvl w:ilvl="4">
      <w:start w:val="1"/>
      <w:numFmt w:val="lowerRoman"/>
      <w:lvlText w:val="(%5)"/>
      <w:lvlJc w:val="start"/>
      <w:pPr>
        <w:tabs>
          <w:tab w:val="num" w:pos="3600"/>
        </w:tabs>
        <w:ind w:start="1440" w:firstLine="144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Letter"/>
      <w:lvlText w:val="(%6)"/>
      <w:lvlJc w:val="start"/>
      <w:pPr>
        <w:tabs>
          <w:tab w:val="num" w:pos="4320"/>
        </w:tabs>
        <w:ind w:start="0" w:firstLine="360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decimal"/>
      <w:lvlText w:val="(%7)"/>
      <w:lvlJc w:val="start"/>
      <w:pPr>
        <w:tabs>
          <w:tab w:val="num" w:pos="5040"/>
        </w:tabs>
        <w:ind w:start="0" w:firstLine="43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Roman"/>
      <w:lvlText w:val="%8)"/>
      <w:lvlJc w:val="start"/>
      <w:pPr>
        <w:tabs>
          <w:tab w:val="num" w:pos="5760"/>
        </w:tabs>
        <w:ind w:start="0" w:firstLine="504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lowerLetter"/>
      <w:lvlText w:val="%9)"/>
      <w:lvlJc w:val="start"/>
      <w:pPr>
        <w:tabs>
          <w:tab w:val="num" w:pos="6480"/>
        </w:tabs>
        <w:ind w:start="0" w:firstLine="5760"/>
      </w:pPr>
      <w:rPr>
        <w:smallCaps w:val="false"/>
        <w:caps w:val="false"/>
        <w:outline w:val="false"/>
        <w:dstrike w:val="false"/>
        <w:strike w:val="false"/>
        <w:vertAlign w:val="baseline"/>
        <w:position w:val="0"/>
        <w:sz w:val="24"/>
        <w:i w:val="false"/>
        <w:shadow w:val="false"/>
        <w:u w:val="none"/>
        <w:b w:val="false"/>
        <w:vanish w:val="false"/>
        <w:color w:val="auto"/>
      </w:rPr>
    </w:lvl>
  </w:abstractNum>
  <w:abstractNum w:abstractNumId="3">
    <w:lvl w:ilvl="0">
      <w:start w:val="1"/>
      <w:numFmt w:val="decimal"/>
      <w:lvlText w:val="%1."/>
      <w:lvlJc w:val="start"/>
      <w:pPr>
        <w:tabs>
          <w:tab w:val="num" w:pos="1800"/>
        </w:tabs>
        <w:ind w:start="0" w:firstLine="144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1">
      <w:start w:val="1"/>
      <w:numFmt w:val="lowerLetter"/>
      <w:lvlText w:val="(%2)"/>
      <w:lvlJc w:val="start"/>
      <w:pPr>
        <w:tabs>
          <w:tab w:val="num" w:pos="2160"/>
        </w:tabs>
        <w:ind w:start="0" w:firstLine="144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2">
      <w:start w:val="1"/>
      <w:numFmt w:val="lowerRoman"/>
      <w:lvlText w:val="(%3)"/>
      <w:lvlJc w:val="start"/>
      <w:pPr>
        <w:tabs>
          <w:tab w:val="num" w:pos="2880"/>
        </w:tabs>
        <w:ind w:start="0" w:firstLine="216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3">
      <w:start w:val="1"/>
      <w:numFmt w:val="upperLetter"/>
      <w:lvlText w:val="%4."/>
      <w:lvlJc w:val="start"/>
      <w:pPr>
        <w:tabs>
          <w:tab w:val="num" w:pos="2880"/>
        </w:tabs>
        <w:ind w:start="288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4">
      <w:start w:val="1"/>
      <w:numFmt w:val="lowerLetter"/>
      <w:lvlText w:val="%5."/>
      <w:lvlJc w:val="start"/>
      <w:pPr>
        <w:tabs>
          <w:tab w:val="num" w:pos="4320"/>
        </w:tabs>
        <w:ind w:start="0" w:firstLine="360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5">
      <w:start w:val="1"/>
      <w:numFmt w:val="lowerRoman"/>
      <w:lvlText w:val="%6."/>
      <w:lvlJc w:val="start"/>
      <w:pPr>
        <w:tabs>
          <w:tab w:val="num" w:pos="5040"/>
        </w:tabs>
        <w:ind w:start="0" w:firstLine="43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6">
      <w:start w:val="1"/>
      <w:numFmt w:val="lowerLetter"/>
      <w:lvlText w:val="(%7)"/>
      <w:lvlJc w:val="start"/>
      <w:pPr>
        <w:tabs>
          <w:tab w:val="num" w:pos="2160"/>
        </w:tabs>
        <w:ind w:start="216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7">
      <w:start w:val="1"/>
      <w:numFmt w:val="lowerLetter"/>
      <w:lvlText w:val="%8)"/>
      <w:lvlJc w:val="start"/>
      <w:pPr>
        <w:tabs>
          <w:tab w:val="num" w:pos="6480"/>
        </w:tabs>
        <w:ind w:start="0" w:firstLine="576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8">
      <w:start w:val="1"/>
      <w:numFmt w:val="lowerRoman"/>
      <w:lvlText w:val="%9)"/>
      <w:lvlJc w:val="start"/>
      <w:pPr>
        <w:tabs>
          <w:tab w:val="num" w:pos="7200"/>
        </w:tabs>
        <w:ind w:start="0" w:firstLine="648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iTrailerType" w:val="0"/>
    <w:docVar w:name="OMPTrailerStyle" w:val="100000"/>
    <w:docVar w:name="zzmpFixed_MacPacVersion" w:val="97"/>
    <w:docVar w:name="zzmpFixedDOC_ID" w:val="DOCSSF1:497396.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keepLines/>
      <w:numPr>
        <w:ilvl w:val="0"/>
        <w:numId w:val="1"/>
      </w:numPr>
      <w:spacing w:lineRule="exact" w:line="240" w:before="240" w:after="0"/>
      <w:ind w:hanging="0" w:start="0" w:end="720"/>
      <w:outlineLvl w:val="0"/>
    </w:pPr>
    <w:rPr>
      <w:b/>
      <w:caps/>
    </w:rPr>
  </w:style>
  <w:style w:type="paragraph" w:styleId="Heading2">
    <w:name w:val="heading 2"/>
    <w:basedOn w:val="Normal"/>
    <w:next w:val="BodyText"/>
    <w:qFormat/>
    <w:pPr>
      <w:keepNext w:val="true"/>
      <w:keepLines/>
      <w:numPr>
        <w:ilvl w:val="1"/>
        <w:numId w:val="1"/>
      </w:numPr>
      <w:spacing w:lineRule="exact" w:line="240" w:before="240" w:after="0"/>
      <w:ind w:hanging="0" w:start="0" w:end="720"/>
      <w:outlineLvl w:val="1"/>
    </w:pPr>
    <w:rPr>
      <w:b/>
    </w:rPr>
  </w:style>
  <w:style w:type="paragraph" w:styleId="Heading3">
    <w:name w:val="heading 3"/>
    <w:basedOn w:val="Normal"/>
    <w:next w:val="BodyText"/>
    <w:qFormat/>
    <w:pPr>
      <w:keepNext w:val="true"/>
      <w:keepLines/>
      <w:numPr>
        <w:ilvl w:val="2"/>
        <w:numId w:val="1"/>
      </w:numPr>
      <w:spacing w:lineRule="exact" w:line="240" w:before="240" w:after="0"/>
      <w:ind w:hanging="0" w:start="0" w:end="720"/>
      <w:outlineLvl w:val="2"/>
    </w:pPr>
    <w:rPr/>
  </w:style>
  <w:style w:type="paragraph" w:styleId="Heading4">
    <w:name w:val="heading 4"/>
    <w:basedOn w:val="Normal"/>
    <w:next w:val="BodyText"/>
    <w:qFormat/>
    <w:pPr>
      <w:keepNext w:val="true"/>
      <w:keepLines/>
      <w:numPr>
        <w:ilvl w:val="3"/>
        <w:numId w:val="1"/>
      </w:numPr>
      <w:spacing w:lineRule="exact" w:line="240" w:before="240" w:after="0"/>
      <w:ind w:hanging="0" w:start="0" w:end="720"/>
      <w:outlineLvl w:val="3"/>
    </w:pPr>
    <w:rPr/>
  </w:style>
  <w:style w:type="paragraph" w:styleId="Heading5">
    <w:name w:val="heading 5"/>
    <w:basedOn w:val="Normal"/>
    <w:next w:val="BodyText"/>
    <w:qFormat/>
    <w:pPr>
      <w:keepNext w:val="true"/>
      <w:keepLines/>
      <w:numPr>
        <w:ilvl w:val="4"/>
        <w:numId w:val="1"/>
      </w:numPr>
      <w:spacing w:lineRule="exact" w:line="240" w:before="240" w:after="0"/>
      <w:ind w:hanging="0" w:start="0" w:end="720"/>
      <w:outlineLvl w:val="4"/>
    </w:pPr>
    <w:rPr/>
  </w:style>
  <w:style w:type="paragraph" w:styleId="Heading6">
    <w:name w:val="heading 6"/>
    <w:basedOn w:val="Normal"/>
    <w:next w:val="BodyText"/>
    <w:qFormat/>
    <w:pPr>
      <w:keepNext w:val="true"/>
      <w:keepLines/>
      <w:numPr>
        <w:ilvl w:val="5"/>
        <w:numId w:val="1"/>
      </w:numPr>
      <w:spacing w:lineRule="exact" w:line="240" w:before="240" w:after="0"/>
      <w:ind w:hanging="0" w:start="0" w:end="720"/>
      <w:outlineLvl w:val="5"/>
    </w:pPr>
    <w:rPr/>
  </w:style>
  <w:style w:type="paragraph" w:styleId="Heading7">
    <w:name w:val="heading 7"/>
    <w:basedOn w:val="Normal"/>
    <w:next w:val="BodyText"/>
    <w:qFormat/>
    <w:pPr>
      <w:keepNext w:val="true"/>
      <w:keepLines/>
      <w:numPr>
        <w:ilvl w:val="6"/>
        <w:numId w:val="1"/>
      </w:numPr>
      <w:spacing w:lineRule="exact" w:line="240" w:before="240" w:after="0"/>
      <w:ind w:hanging="0" w:start="0" w:end="720"/>
      <w:outlineLvl w:val="6"/>
    </w:pPr>
    <w:rPr/>
  </w:style>
  <w:style w:type="paragraph" w:styleId="Heading8">
    <w:name w:val="heading 8"/>
    <w:basedOn w:val="Normal"/>
    <w:next w:val="BodyText"/>
    <w:qFormat/>
    <w:pPr>
      <w:keepNext w:val="true"/>
      <w:keepLines/>
      <w:numPr>
        <w:ilvl w:val="7"/>
        <w:numId w:val="1"/>
      </w:numPr>
      <w:spacing w:lineRule="exact" w:line="240" w:before="240" w:after="0"/>
      <w:ind w:hanging="0" w:start="0" w:end="720"/>
      <w:outlineLvl w:val="7"/>
    </w:pPr>
    <w:rPr/>
  </w:style>
  <w:style w:type="paragraph" w:styleId="Heading9">
    <w:name w:val="heading 9"/>
    <w:basedOn w:val="Normal"/>
    <w:next w:val="BodyText"/>
    <w:qFormat/>
    <w:pPr>
      <w:keepNext w:val="true"/>
      <w:keepLines/>
      <w:numPr>
        <w:ilvl w:val="8"/>
        <w:numId w:val="1"/>
      </w:numPr>
      <w:spacing w:lineRule="exact" w:line="240" w:before="240" w:after="0"/>
      <w:ind w:hanging="0" w:start="0" w:end="720"/>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u w:val="none"/>
    </w:rPr>
  </w:style>
  <w:style w:type="character" w:styleId="WW8Num11z2">
    <w:name w:val="WW8Num11z2"/>
    <w:qFormat/>
    <w:rPr>
      <w:b w:val="false"/>
      <w:u w:val="none"/>
    </w:rPr>
  </w:style>
  <w:style w:type="character" w:styleId="WW8Num12z0">
    <w:name w:val="WW8Num12z0"/>
    <w:qFormat/>
    <w:rPr>
      <w:rFonts w:ascii="Symbol" w:hAnsi="Symbol" w:cs="Symbol"/>
    </w:rPr>
  </w:style>
  <w:style w:type="character" w:styleId="WW8Num14z0">
    <w:name w:val="WW8Num14z0"/>
    <w:qFormat/>
    <w:rPr>
      <w:b w:val="false"/>
      <w:i w:val="false"/>
    </w:rPr>
  </w:style>
  <w:style w:type="character" w:styleId="WW8Num15z0">
    <w:name w:val="WW8Num15z0"/>
    <w:qFormat/>
    <w:rPr>
      <w:b w:val="false"/>
      <w:i w:val="false"/>
      <w:caps/>
      <w:strike w:val="false"/>
      <w:dstrike w:val="false"/>
      <w:outline w:val="false"/>
      <w:shadow w:val="false"/>
      <w:vanish w:val="false"/>
      <w:color w:val="auto"/>
      <w:position w:val="0"/>
      <w:sz w:val="24"/>
      <w:u w:val="none"/>
      <w:vertAlign w:val="baseline"/>
    </w:rPr>
  </w:style>
  <w:style w:type="character" w:styleId="WW8Num15z1">
    <w:name w:val="WW8Num15z1"/>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16z0">
    <w:name w:val="WW8Num16z0"/>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17z0">
    <w:name w:val="WW8Num17z0"/>
    <w:qFormat/>
    <w:rPr>
      <w:b w:val="false"/>
      <w:i w:val="false"/>
      <w:caps/>
      <w:strike w:val="false"/>
      <w:dstrike w:val="false"/>
      <w:outline w:val="false"/>
      <w:shadow w:val="false"/>
      <w:vanish w:val="false"/>
      <w:color w:val="auto"/>
      <w:position w:val="0"/>
      <w:sz w:val="24"/>
      <w:u w:val="none"/>
      <w:vertAlign w:val="baseline"/>
    </w:rPr>
  </w:style>
  <w:style w:type="character" w:styleId="WW8Num17z1">
    <w:name w:val="WW8Num17z1"/>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4"/>
    </w:rPr>
  </w:style>
  <w:style w:type="character" w:styleId="FootnoteCharacters">
    <w:name w:val="Footnote Characters"/>
    <w:basedOn w:val="DefaultParagraphFont"/>
    <w:qFormat/>
    <w:rPr>
      <w:vertAlign w:val="superscript"/>
    </w:rPr>
  </w:style>
  <w:style w:type="character" w:styleId="ParagraphNumber">
    <w:name w:val="ParagraphNumber"/>
    <w:basedOn w:val="DefaultParagraphFont"/>
    <w:qFormat/>
    <w:rPr/>
  </w:style>
  <w:style w:type="character" w:styleId="zzmpTrailerItem">
    <w:name w:val="zzmpTrailerItem"/>
    <w:basedOn w:val="DefaultParagraphFont"/>
    <w:qFormat/>
    <w:rPr>
      <w:rFonts w:ascii="Garamond" w:hAnsi="Garamond" w:cs="Garamond"/>
      <w:b w:val="false"/>
      <w:i w:val="false"/>
      <w:smallCaps/>
      <w:color w:val="800000"/>
      <w:spacing w:val="0"/>
      <w:sz w:val="16"/>
      <w:u w:val="non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48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680" w:leader="none"/>
        <w:tab w:val="right" w:pos="9360" w:leader="none"/>
      </w:tabs>
      <w:spacing w:lineRule="atLeast" w:line="240"/>
    </w:pPr>
    <w:rPr>
      <w:sz w:val="20"/>
    </w:rPr>
  </w:style>
  <w:style w:type="paragraph" w:styleId="BodyTextIndent">
    <w:name w:val="Body Text Indent"/>
    <w:basedOn w:val="BodyText"/>
    <w:next w:val="BodyText"/>
    <w:pPr>
      <w:spacing w:lineRule="auto" w:line="240"/>
      <w:ind w:hanging="0" w:start="720" w:end="0"/>
    </w:pPr>
    <w:rPr/>
  </w:style>
  <w:style w:type="paragraph" w:styleId="LHFirmName">
    <w:name w:val="LH Firm Name"/>
    <w:basedOn w:val="Normal"/>
    <w:qFormat/>
    <w:pPr>
      <w:spacing w:before="0" w:after="120"/>
      <w:ind w:hanging="0" w:start="-720" w:end="0"/>
    </w:pPr>
    <w:rPr>
      <w:rFonts w:ascii="EngravrsRoman BT;Century" w:hAnsi="EngravrsRoman BT;Century" w:cs="EngravrsRoman BT;Century"/>
      <w:b/>
      <w:spacing w:val="10"/>
      <w:sz w:val="15"/>
    </w:rPr>
  </w:style>
  <w:style w:type="paragraph" w:styleId="BodyTextContinued">
    <w:name w:val="Body Text Continued"/>
    <w:basedOn w:val="BodyText"/>
    <w:next w:val="BodyText"/>
    <w:qFormat/>
    <w:pPr>
      <w:ind w:hanging="0" w:start="0" w:end="0"/>
    </w:pPr>
    <w:rPr/>
  </w:style>
  <w:style w:type="paragraph" w:styleId="Centered">
    <w:name w:val="Centered"/>
    <w:basedOn w:val="Normal"/>
    <w:next w:val="BodyText"/>
    <w:qFormat/>
    <w:pPr>
      <w:spacing w:lineRule="exact" w:line="240" w:before="0" w:after="240"/>
      <w:jc w:val="center"/>
    </w:pPr>
    <w:rPr/>
  </w:style>
  <w:style w:type="paragraph" w:styleId="FootnoteText">
    <w:name w:val="footnote text"/>
    <w:basedOn w:val="Normal"/>
    <w:pPr>
      <w:spacing w:lineRule="exact" w:line="240" w:before="0" w:after="120"/>
      <w:ind w:hanging="720" w:start="720" w:end="0"/>
    </w:pPr>
    <w:rPr/>
  </w:style>
  <w:style w:type="paragraph" w:styleId="HeaderNumbers">
    <w:name w:val="HeaderNumbers"/>
    <w:basedOn w:val="Normal"/>
    <w:qFormat/>
    <w:pPr>
      <w:spacing w:lineRule="exact" w:line="480" w:before="720" w:after="0"/>
      <w:ind w:hanging="0" w:start="0" w:end="144"/>
      <w:jc w:val="end"/>
    </w:pPr>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bidi="ar-SA" w:eastAsia="zh-CN"/>
    </w:rPr>
  </w:style>
  <w:style w:type="paragraph" w:styleId="NormalIndent">
    <w:name w:val="Normal Indent"/>
    <w:basedOn w:val="Normal"/>
    <w:qFormat/>
    <w:pPr>
      <w:widowControl w:val="false"/>
      <w:spacing w:lineRule="exact" w:line="240"/>
      <w:ind w:hanging="0" w:start="720" w:end="720"/>
    </w:pPr>
    <w:rPr/>
  </w:style>
  <w:style w:type="paragraph" w:styleId="PleadingSignature">
    <w:name w:val="Pleading Signature"/>
    <w:basedOn w:val="Normal"/>
    <w:qFormat/>
    <w:pPr>
      <w:keepNext w:val="true"/>
      <w:keepLines/>
      <w:widowControl w:val="false"/>
      <w:tabs>
        <w:tab w:val="clear" w:pos="720"/>
        <w:tab w:val="left" w:pos="5040" w:leader="none"/>
        <w:tab w:val="right" w:pos="9360" w:leader="none"/>
      </w:tabs>
      <w:spacing w:lineRule="exact" w:line="240"/>
      <w:ind w:hanging="0" w:start="4680" w:end="0"/>
    </w:pPr>
    <w:rPr/>
  </w:style>
  <w:style w:type="paragraph" w:styleId="EnvelopeAddress">
    <w:name w:val="envelope address"/>
    <w:basedOn w:val="Normal"/>
    <w:pPr/>
    <w:rPr/>
  </w:style>
  <w:style w:type="paragraph" w:styleId="LetterDate">
    <w:name w:val="Letter Date"/>
    <w:basedOn w:val="Normal"/>
    <w:next w:val="BodyText"/>
    <w:qFormat/>
    <w:pPr/>
    <w:rPr/>
  </w:style>
  <w:style w:type="paragraph" w:styleId="LeftHeading">
    <w:name w:val="Left Heading"/>
    <w:basedOn w:val="Normal"/>
    <w:next w:val="Normal"/>
    <w:qFormat/>
    <w:pPr/>
    <w:rPr>
      <w:b/>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DeliveryPhrase">
    <w:name w:val="Delivery Phrase"/>
    <w:basedOn w:val="Normal"/>
    <w:next w:val="Normal"/>
    <w:qFormat/>
    <w:pPr>
      <w:spacing w:before="240" w:after="0"/>
    </w:pPr>
    <w:rPr>
      <w:b/>
      <w:caps/>
    </w:rPr>
  </w:style>
  <w:style w:type="paragraph" w:styleId="SDP">
    <w:name w:val="SDP"/>
    <w:basedOn w:val="Normal"/>
    <w:next w:val="Normal"/>
    <w:qFormat/>
    <w:pPr>
      <w:spacing w:before="240" w:after="0"/>
    </w:pPr>
    <w:rPr>
      <w:b/>
      <w:caps/>
    </w:rPr>
  </w:style>
  <w:style w:type="paragraph" w:styleId="Quote">
    <w:name w:val="Quote"/>
    <w:basedOn w:val="Normal"/>
    <w:next w:val="BodyTextContinued"/>
    <w:qFormat/>
    <w:pPr>
      <w:spacing w:before="0" w:after="240"/>
      <w:ind w:hanging="0" w:start="1440" w:end="1440"/>
    </w:pPr>
    <w:rPr/>
  </w:style>
  <w:style w:type="paragraph" w:styleId="EnvelopeBilling">
    <w:name w:val="Envelope Billing"/>
    <w:basedOn w:val="Normal"/>
    <w:qFormat/>
    <w:pPr/>
    <w:rPr>
      <w:sz w:val="18"/>
    </w:rPr>
  </w:style>
  <w:style w:type="paragraph" w:styleId="Heading1Para">
    <w:name w:val="Heading1Para"/>
    <w:basedOn w:val="BodyText"/>
    <w:next w:val="BodyText"/>
    <w:qFormat/>
    <w:pPr>
      <w:spacing w:lineRule="auto" w:line="240" w:before="0" w:after="240"/>
      <w:ind w:hanging="0" w:start="0" w:end="0"/>
      <w:jc w:val="center"/>
    </w:pPr>
    <w:rPr/>
  </w:style>
  <w:style w:type="paragraph" w:styleId="Heading2Para">
    <w:name w:val="Heading2Para"/>
    <w:basedOn w:val="BodyText"/>
    <w:next w:val="BodyText"/>
    <w:qFormat/>
    <w:pPr>
      <w:spacing w:lineRule="auto" w:line="240" w:before="0" w:after="240"/>
      <w:ind w:hanging="0" w:start="0" w:end="0"/>
    </w:pPr>
    <w:rPr/>
  </w:style>
  <w:style w:type="paragraph" w:styleId="Heading3Para">
    <w:name w:val="Heading3Para"/>
    <w:basedOn w:val="BodyText"/>
    <w:next w:val="BodyText"/>
    <w:qFormat/>
    <w:pPr>
      <w:spacing w:lineRule="auto" w:line="240" w:before="0" w:after="240"/>
    </w:pPr>
    <w:rPr/>
  </w:style>
  <w:style w:type="paragraph" w:styleId="Heading4Para">
    <w:name w:val="Heading4Para"/>
    <w:basedOn w:val="BodyText"/>
    <w:next w:val="BodyText"/>
    <w:qFormat/>
    <w:pPr>
      <w:spacing w:lineRule="auto" w:line="240" w:before="0" w:after="240"/>
      <w:ind w:firstLine="2160" w:start="0" w:end="0"/>
    </w:pPr>
    <w:rPr/>
  </w:style>
  <w:style w:type="paragraph" w:styleId="Heading5Para">
    <w:name w:val="Heading5Para"/>
    <w:basedOn w:val="BodyText"/>
    <w:next w:val="BodyText"/>
    <w:qFormat/>
    <w:pPr>
      <w:spacing w:lineRule="auto" w:line="240" w:before="0" w:after="240"/>
      <w:ind w:firstLine="2880" w:start="0" w:end="0"/>
    </w:pPr>
    <w:rPr/>
  </w:style>
  <w:style w:type="paragraph" w:styleId="Heading6Para">
    <w:name w:val="Heading6Para"/>
    <w:basedOn w:val="BodyText"/>
    <w:next w:val="BodyText"/>
    <w:qFormat/>
    <w:pPr>
      <w:spacing w:lineRule="auto" w:line="240" w:before="0" w:after="240"/>
      <w:ind w:firstLine="3600" w:start="0" w:end="0"/>
    </w:pPr>
    <w:rPr/>
  </w:style>
  <w:style w:type="paragraph" w:styleId="Heading7Para">
    <w:name w:val="Heading7Para"/>
    <w:basedOn w:val="BodyText"/>
    <w:next w:val="BodyText"/>
    <w:qFormat/>
    <w:pPr>
      <w:spacing w:lineRule="auto" w:line="240" w:before="0" w:after="240"/>
      <w:ind w:firstLine="4320" w:start="0" w:end="0"/>
    </w:pPr>
    <w:rPr/>
  </w:style>
  <w:style w:type="paragraph" w:styleId="Heading8Para">
    <w:name w:val="Heading8Para"/>
    <w:basedOn w:val="BodyText"/>
    <w:next w:val="BodyText"/>
    <w:qFormat/>
    <w:pPr>
      <w:spacing w:lineRule="auto" w:line="240" w:before="0" w:after="240"/>
      <w:ind w:firstLine="5040" w:start="0" w:end="0"/>
    </w:pPr>
    <w:rPr/>
  </w:style>
  <w:style w:type="paragraph" w:styleId="Heading9Para">
    <w:name w:val="Heading9Para"/>
    <w:basedOn w:val="BodyText"/>
    <w:next w:val="BodyText"/>
    <w:qFormat/>
    <w:pPr>
      <w:spacing w:lineRule="auto" w:line="240" w:before="0" w:after="240"/>
      <w:ind w:firstLine="5760" w:start="0" w:end="0"/>
    </w:pPr>
    <w:rPr/>
  </w:style>
  <w:style w:type="paragraph" w:styleId="TabbedL1">
    <w:name w:val="Tabbed_L1"/>
    <w:basedOn w:val="Normal"/>
    <w:next w:val="Normal"/>
    <w:qFormat/>
    <w:pPr>
      <w:numPr>
        <w:ilvl w:val="0"/>
        <w:numId w:val="3"/>
      </w:numPr>
      <w:spacing w:before="0" w:after="240"/>
      <w:outlineLvl w:val="0"/>
    </w:pPr>
    <w:rPr/>
  </w:style>
  <w:style w:type="paragraph" w:styleId="TabbedL2">
    <w:name w:val="Tabbed_L2"/>
    <w:basedOn w:val="TabbedL1"/>
    <w:next w:val="Normal"/>
    <w:qFormat/>
    <w:pPr>
      <w:numPr>
        <w:ilvl w:val="0"/>
        <w:numId w:val="3"/>
      </w:numPr>
      <w:outlineLvl w:val="1"/>
    </w:pPr>
    <w:rPr/>
  </w:style>
  <w:style w:type="paragraph" w:styleId="TabbedL3">
    <w:name w:val="Tabbed_L3"/>
    <w:basedOn w:val="TabbedL2"/>
    <w:next w:val="Normal"/>
    <w:qFormat/>
    <w:pPr>
      <w:numPr>
        <w:ilvl w:val="0"/>
        <w:numId w:val="3"/>
      </w:numPr>
      <w:outlineLvl w:val="2"/>
    </w:pPr>
    <w:rPr/>
  </w:style>
  <w:style w:type="paragraph" w:styleId="TabbedL4">
    <w:name w:val="Tabbed_L4"/>
    <w:basedOn w:val="TabbedL3"/>
    <w:next w:val="Normal"/>
    <w:qFormat/>
    <w:pPr>
      <w:numPr>
        <w:ilvl w:val="0"/>
        <w:numId w:val="3"/>
      </w:numPr>
      <w:spacing w:before="0" w:after="0"/>
      <w:outlineLvl w:val="3"/>
    </w:pPr>
    <w:rPr/>
  </w:style>
  <w:style w:type="paragraph" w:styleId="TabbedL5">
    <w:name w:val="Tabbed_L5"/>
    <w:basedOn w:val="TabbedL4"/>
    <w:next w:val="Normal"/>
    <w:qFormat/>
    <w:pPr>
      <w:numPr>
        <w:ilvl w:val="0"/>
        <w:numId w:val="3"/>
      </w:numPr>
      <w:outlineLvl w:val="4"/>
    </w:pPr>
    <w:rPr/>
  </w:style>
  <w:style w:type="paragraph" w:styleId="TabbedL6">
    <w:name w:val="Tabbed_L6"/>
    <w:basedOn w:val="TabbedL5"/>
    <w:next w:val="Normal"/>
    <w:qFormat/>
    <w:pPr>
      <w:numPr>
        <w:ilvl w:val="0"/>
        <w:numId w:val="3"/>
      </w:numPr>
      <w:outlineLvl w:val="5"/>
    </w:pPr>
    <w:rPr/>
  </w:style>
  <w:style w:type="paragraph" w:styleId="TabbedL7">
    <w:name w:val="Tabbed_L7"/>
    <w:basedOn w:val="TabbedL6"/>
    <w:next w:val="Normal"/>
    <w:qFormat/>
    <w:pPr>
      <w:numPr>
        <w:ilvl w:val="0"/>
        <w:numId w:val="3"/>
      </w:numPr>
      <w:outlineLvl w:val="6"/>
    </w:pPr>
    <w:rPr/>
  </w:style>
  <w:style w:type="paragraph" w:styleId="TabbedL8">
    <w:name w:val="Tabbed_L8"/>
    <w:basedOn w:val="TabbedL7"/>
    <w:next w:val="Normal"/>
    <w:qFormat/>
    <w:pPr>
      <w:numPr>
        <w:ilvl w:val="0"/>
        <w:numId w:val="3"/>
      </w:numPr>
      <w:outlineLvl w:val="7"/>
    </w:pPr>
    <w:rPr/>
  </w:style>
  <w:style w:type="paragraph" w:styleId="TabbedL9">
    <w:name w:val="Tabbed_L9"/>
    <w:basedOn w:val="TabbedL8"/>
    <w:next w:val="Normal"/>
    <w:qFormat/>
    <w:pPr>
      <w:numPr>
        <w:ilvl w:val="0"/>
        <w:numId w:val="3"/>
      </w:numPr>
      <w:outlineLvl w:val="8"/>
    </w:pPr>
    <w:rPr/>
  </w:style>
  <w:style w:type="paragraph" w:styleId="OutlineL1">
    <w:name w:val="Outline_L1"/>
    <w:basedOn w:val="Normal"/>
    <w:next w:val="Normal"/>
    <w:qFormat/>
    <w:pPr>
      <w:numPr>
        <w:ilvl w:val="0"/>
        <w:numId w:val="2"/>
      </w:numPr>
      <w:spacing w:before="0" w:after="240"/>
    </w:pPr>
    <w:rPr/>
  </w:style>
  <w:style w:type="paragraph" w:styleId="OutlineL2">
    <w:name w:val="Outline_L2"/>
    <w:basedOn w:val="OutlineL1"/>
    <w:next w:val="Normal"/>
    <w:qFormat/>
    <w:pPr>
      <w:numPr>
        <w:ilvl w:val="0"/>
        <w:numId w:val="2"/>
      </w:numPr>
      <w:tabs>
        <w:tab w:val="clear" w:pos="720"/>
        <w:tab w:val="left" w:pos="360" w:leader="none"/>
      </w:tabs>
      <w:ind w:hanging="720" w:start="1440" w:end="0"/>
      <w:jc w:val="both"/>
    </w:pPr>
    <w:rPr/>
  </w:style>
  <w:style w:type="paragraph" w:styleId="OutlineL3">
    <w:name w:val="Outline_L3"/>
    <w:basedOn w:val="OutlineL2"/>
    <w:next w:val="Normal"/>
    <w:qFormat/>
    <w:pPr>
      <w:numPr>
        <w:ilvl w:val="0"/>
        <w:numId w:val="2"/>
      </w:numPr>
      <w:ind w:hanging="720" w:start="2160" w:end="0"/>
    </w:pPr>
    <w:rPr/>
  </w:style>
  <w:style w:type="paragraph" w:styleId="OutlineL4">
    <w:name w:val="Outline_L4"/>
    <w:basedOn w:val="OutlineL3"/>
    <w:next w:val="Normal"/>
    <w:qFormat/>
    <w:pPr>
      <w:numPr>
        <w:ilvl w:val="0"/>
        <w:numId w:val="2"/>
      </w:numPr>
      <w:ind w:hanging="720" w:start="2880" w:end="0"/>
    </w:pPr>
    <w:rPr/>
  </w:style>
  <w:style w:type="paragraph" w:styleId="OutlineL5">
    <w:name w:val="Outline_L5"/>
    <w:basedOn w:val="OutlineL4"/>
    <w:next w:val="Normal"/>
    <w:qFormat/>
    <w:pPr>
      <w:numPr>
        <w:ilvl w:val="0"/>
        <w:numId w:val="2"/>
      </w:numPr>
      <w:ind w:hanging="720" w:start="3600" w:end="0"/>
    </w:pPr>
    <w:rPr/>
  </w:style>
  <w:style w:type="paragraph" w:styleId="OutlineL6">
    <w:name w:val="Outline_L6"/>
    <w:basedOn w:val="OutlineL5"/>
    <w:next w:val="Normal"/>
    <w:qFormat/>
    <w:pPr>
      <w:numPr>
        <w:ilvl w:val="0"/>
        <w:numId w:val="2"/>
      </w:numPr>
      <w:ind w:hanging="720" w:start="4320" w:end="0"/>
    </w:pPr>
    <w:rPr/>
  </w:style>
  <w:style w:type="paragraph" w:styleId="OutlineL7">
    <w:name w:val="Outline_L7"/>
    <w:basedOn w:val="OutlineL6"/>
    <w:next w:val="Normal"/>
    <w:qFormat/>
    <w:pPr>
      <w:numPr>
        <w:ilvl w:val="0"/>
        <w:numId w:val="2"/>
      </w:numPr>
      <w:ind w:hanging="720" w:start="5040" w:end="0"/>
    </w:pPr>
    <w:rPr/>
  </w:style>
  <w:style w:type="paragraph" w:styleId="OutlineL8">
    <w:name w:val="Outline_L8"/>
    <w:basedOn w:val="OutlineL7"/>
    <w:next w:val="Normal"/>
    <w:qFormat/>
    <w:pPr>
      <w:numPr>
        <w:ilvl w:val="0"/>
        <w:numId w:val="2"/>
      </w:numPr>
      <w:ind w:hanging="720" w:start="5760" w:end="0"/>
    </w:pPr>
    <w:rPr/>
  </w:style>
  <w:style w:type="paragraph" w:styleId="OutlineL9">
    <w:name w:val="Outline_L9"/>
    <w:basedOn w:val="OutlineL8"/>
    <w:next w:val="Normal"/>
    <w:qFormat/>
    <w:pPr>
      <w:numPr>
        <w:ilvl w:val="0"/>
        <w:numId w:val="2"/>
      </w:numPr>
      <w:ind w:hanging="720" w:start="6480" w:end="0"/>
    </w:pPr>
    <w:rPr/>
  </w:style>
  <w:style w:type="paragraph" w:styleId="BodyText2">
    <w:name w:val="Body Text 2"/>
    <w:basedOn w:val="Normal"/>
    <w:qFormat/>
    <w:pPr>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style>
  <w:style w:type="paragraph" w:styleId="i">
    <w:name w:val="(i)"/>
    <w:basedOn w:val="BodyText"/>
    <w:qFormat/>
    <w:pPr>
      <w:tabs>
        <w:tab w:val="clear" w:pos="720"/>
        <w:tab w:val="right" w:pos="1296" w:leader="none"/>
      </w:tabs>
      <w:spacing w:lineRule="auto" w:line="240" w:before="0" w:after="240"/>
      <w:ind w:hanging="1440" w:start="1440" w:end="0"/>
      <w:jc w:val="both"/>
    </w:pPr>
    <w:rPr>
      <w:rFonts w:ascii="Bembo;GoudyOlSt BT" w:hAnsi="Bembo;GoudyOlSt BT" w:eastAsia="SimSun;??" w:cs="Bembo;GoudyOlSt BT"/>
      <w:sz w:val="26"/>
      <w:lang w:val="en-GB" w:eastAsia="zh-CN"/>
    </w:rPr>
  </w:style>
  <w:style w:type="paragraph" w:styleId="a">
    <w:name w:val="(a)"/>
    <w:basedOn w:val="BodyText"/>
    <w:qFormat/>
    <w:pPr>
      <w:spacing w:lineRule="auto" w:line="240" w:before="0" w:after="240"/>
      <w:ind w:hanging="720" w:start="720" w:end="0"/>
      <w:jc w:val="both"/>
    </w:pPr>
    <w:rPr>
      <w:rFonts w:ascii="Bembo;GoudyOlSt BT" w:hAnsi="Bembo;GoudyOlSt BT" w:cs="Bembo;GoudyOlSt BT"/>
      <w:sz w:val="26"/>
      <w:lang w:val="en-GB"/>
    </w:rPr>
  </w:style>
  <w:style w:type="paragraph" w:styleId="ListContinue5">
    <w:name w:val="List Continue 5"/>
    <w:basedOn w:val="Normal"/>
    <w:qFormat/>
    <w:pPr>
      <w:spacing w:before="0" w:after="120"/>
      <w:ind w:hanging="0" w:start="1080" w:end="0"/>
      <w:jc w:val="both"/>
    </w:pPr>
    <w:rPr>
      <w:rFonts w:eastAsia="SimSun;??"/>
      <w:szCs w:val="24"/>
      <w:lang w:val="en-GB" w:eastAsia="zh-CN"/>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AME-FRE-AME-DOC.DOT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2001-04-26T19:17:00Z</dcterms:created>
  <dc:creator>Kelley Drye &amp; Warren LLP</dc:creator>
  <dc:description/>
  <dc:language>en-CA</dc:language>
  <cp:lastModifiedBy>Freshfields Bruckhaus Deringer LLP</cp:lastModifiedBy>
  <cp:lastPrinted>2001-04-26T17:06:00Z</cp:lastPrinted>
  <dcterms:modified xsi:type="dcterms:W3CDTF">2001-04-26T19:17:00Z</dcterms:modified>
  <cp:revision>2</cp:revision>
  <dc:subject>12+</dc:subject>
  <dc:title>UCC-1 DESCRIPTION (DOT)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earView Info">
    <vt:lpwstr>ClearView~NY003700827~~117784-0002~</vt:lpwstr>
  </property>
  <property fmtid="{D5CDD505-2E9C-101B-9397-08002B2CF9AE}" pid="3" name="ClearView IsDirty">
    <vt:lpwstr/>
  </property>
</Properties>
</file>