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April           ,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Purchase Agreement dated April 20, 2001 (the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Purchase Agreement), and the Class D Preferred Interests (as defined in the Purchase Agreement), as the case may be,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April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66261"/>
      <w:bookmarkEnd w:id="0"/>
      <w:r>
        <w:rPr/>
        <w:t>Consent to Assignment and Acknowledgement</w:t>
      </w:r>
    </w:p>
    <w:p>
      <w:pPr>
        <w:pStyle w:val="Heading3"/>
        <w:ind w:hanging="0" w:start="0"/>
        <w:rPr/>
      </w:pPr>
      <w:bookmarkStart w:id="1" w:name="__RefHeading___Toc512166262"/>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166263"/>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166264"/>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166265"/>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166266"/>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166267"/>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166261">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166262">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166263">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166264">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166265">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166266">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166267">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19+</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2001-04-19T13:40:00Z</dcterms:created>
  <dc:creator>Freshfields LLP</dc:creator>
  <dc:description/>
  <dc:language>en-CA</dc:language>
  <cp:lastModifiedBy>Freshfields Bruckhaus Deringer LLP</cp:lastModifiedBy>
  <cp:lastPrinted>2001-04-18T18:53:00Z</cp:lastPrinted>
  <dcterms:modified xsi:type="dcterms:W3CDTF">2001-04-19T13:41:00Z</dcterms:modified>
  <cp:revision>3</cp:revision>
  <dc:subject>19+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