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April          ,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April 26, 2001 (the </w:t>
      </w:r>
      <w:r>
        <w:rPr>
          <w:b/>
          <w:bCs/>
          <w:i/>
          <w:iCs/>
        </w:rPr>
        <w:t xml:space="preserve">Note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April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602024"/>
      <w:bookmarkEnd w:id="0"/>
      <w:r>
        <w:rPr/>
        <w:t>Consent to Assignment and Acknowledgement</w:t>
      </w:r>
    </w:p>
    <w:p>
      <w:pPr>
        <w:pStyle w:val="Heading3"/>
        <w:ind w:hanging="0" w:start="0"/>
        <w:rPr/>
      </w:pPr>
      <w:bookmarkStart w:id="1" w:name="__RefHeading___Toc512602025"/>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602026"/>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602027"/>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602028"/>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602029"/>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U.S. Bank Trust National Association, at its office at </w:t>
      </w:r>
      <w:r>
        <w:rPr>
          <w:color w:val="000000"/>
        </w:rPr>
        <w:t xml:space="preserve">550 South Hope Street, Suite 500, Los Angeles, CA 90071 </w:t>
      </w:r>
      <w:r>
        <w:rPr/>
        <w:t xml:space="preserve">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602030"/>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b/>
        </w:rPr>
      </w:pPr>
      <w:r>
        <w:rPr/>
        <w:t>(h)</w:t>
        <w:tab/>
      </w:r>
      <w:r>
        <w:rPr>
          <w:b/>
        </w:rPr>
        <w:t xml:space="preserve">Jurisdiction and Process.  </w:t>
      </w:r>
      <w:r>
        <w:rPr/>
        <w:t>GE hereby irrevocably submits to the non</w:t>
        <w:noBreakHyphen/>
        <w:t xml:space="preserve">exclusive jurisdiction of the Supreme Court of the State of New York sitting in the Borough of Manhattan in the City of New York and of the United States District Court for the Southern District of New York, and any appellate court therefrom, in any action or proceeding arising out of or relating to this Consent and Agreement </w:t>
      </w:r>
      <w:r>
        <w:rPr>
          <w:bCs/>
        </w:rPr>
        <w:t>or any other document executed in connection herewith, or any legal action or proceeding to execute or otherwise enforce any judgment obtained against GE, for breach hereof, or against any of its properties,</w:t>
      </w:r>
      <w:r>
        <w:rPr/>
        <w:t xml:space="preserve"> and GE hereby irrevocably agrees that all claims in respect of such action or proceeding may be heard and determined in such New York State or Federal court.  GE hereby irrevocably waives, to the fullest extent that it may legally do so, the defense of an inconvenient forum to the maintenance of such action or proceeding.  GE irrevocably consents to the service of any and all process in any action or proceeding by the mailing or delivery of copies of such process to it at the office at the address specified below </w:t>
      </w:r>
      <w:r>
        <w:rPr>
          <w:bCs/>
        </w:rPr>
        <w:t>its name on the signature pages hereof or at such other address of which each noteholder shall have been notified thereto</w:t>
      </w:r>
      <w:r>
        <w:rPr/>
        <w:t xml:space="preserve">.  GE agrees that a final judgment in any such action or proceeding shall be conclusive and may be enforced in other jurisdictions by suit on the judgment or in any other manner provided by law.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xml:space="preserve">.  </w:t>
      </w:r>
      <w:r>
        <w:rPr>
          <w:b/>
          <w:bCs/>
        </w:rPr>
        <w:t>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602024">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602025">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602026">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602027">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602028">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602029">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602030">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NY003699615-9986c130ee2022d7682c1576e7d09cb34cc2e9cd0b85db562cc002b005a4e222.DOC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NY003699615-9986c130ee2022d7682c1576e7d09cb34cc2e9cd0b85db562cc002b005a4e222.DOC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27+</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NY003699615-9986c130ee2022d7682c1576e7d09cb34cc2e9cd0b85db562cc002b005a4e222.DOC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NY003699615-9986c130ee2022d7682c1576e7d09cb34cc2e9cd0b85db562cc002b005a4e222.DOC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NY003699615-9986c130ee2022d7682c1576e7d09cb34cc2e9cd0b85db562cc002b005a4e222.DOC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GoudyOlSt BT" w:hAnsi="Bembo;GoudyOlSt BT" w:cs="Bembo;GoudyOlSt BT"/>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GoudyOlSt BT" w:hAnsi="Bembo;GoudyOlSt BT" w:cs="Bembo;GoudyOlSt BT"/>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GoudyOlSt BT" w:hAnsi="Bembo;GoudyOlSt BT" w:cs="Bembo;GoudyOlSt BT"/>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GoudyOlSt BT" w:hAnsi="Bembo;GoudyOlSt BT" w:cs="Bembo;GoudyOlSt BT"/>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GoudyOlSt BT" w:hAnsi="Bembo;GoudyOlSt BT" w:cs="Bembo;GoudyOlSt BT"/>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GoudyOlSt BT" w:hAnsi="Bembo;GoudyOlSt BT" w:cs="Bembo;GoudyOlSt BT"/>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2001-04-25T04:05:00Z</dcterms:created>
  <dc:creator>Freshfields LLP</dc:creator>
  <dc:description/>
  <dc:language>en-CA</dc:language>
  <cp:lastModifiedBy>Freshfields Bruckhaus Deringer LLP</cp:lastModifiedBy>
  <cp:lastPrinted>2001-04-23T09:55:00Z</cp:lastPrinted>
  <dcterms:modified xsi:type="dcterms:W3CDTF">2001-04-25T04:11:00Z</dcterms:modified>
  <cp:revision>3</cp:revision>
  <dc:subject>27+</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