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b/>
          <w:bCs/>
          <w:u w:val="single"/>
        </w:rPr>
      </w:pPr>
      <w:r>
        <w:rPr>
          <w:b/>
          <w:bCs/>
          <w:u w:val="single"/>
        </w:rPr>
        <w:t>Critical Path Items to Financial Closing</w:t>
      </w:r>
    </w:p>
    <w:p>
      <w:pPr>
        <w:pStyle w:val="BodyText"/>
        <w:spacing w:before="0" w:after="0"/>
        <w:rPr>
          <w:b/>
          <w:bCs/>
        </w:rPr>
      </w:pPr>
      <w:r>
        <w:rPr>
          <w:b/>
          <w:bCs/>
        </w:rPr>
        <w:t>(See Closing List for key to acronyms)</w:t>
      </w:r>
    </w:p>
    <w:p>
      <w:pPr>
        <w:pStyle w:val="BodyText"/>
        <w:spacing w:before="0" w:after="0"/>
        <w:rPr>
          <w:b/>
          <w:bCs/>
          <w:u w:val="single"/>
        </w:rPr>
      </w:pPr>
      <w:r>
        <w:rPr>
          <w:b/>
          <w:bCs/>
          <w:u w:val="single"/>
        </w:rPr>
      </w:r>
    </w:p>
    <w:p>
      <w:pPr>
        <w:pStyle w:val="BodyText"/>
        <w:spacing w:before="0" w:after="0"/>
        <w:rPr>
          <w:b/>
          <w:bCs/>
          <w:u w:val="single"/>
        </w:rPr>
      </w:pPr>
      <w:r>
        <w:rPr>
          <w:b/>
          <w:bCs/>
        </w:rPr>
        <w:t>Next conference call to discuss status:  Tuesday, April 25, 2000 (FF to distribute dial-in information)</w:t>
      </w:r>
    </w:p>
    <w:p>
      <w:pPr>
        <w:pStyle w:val="BodyText"/>
        <w:spacing w:before="0" w:after="0"/>
        <w:rPr>
          <w:b/>
          <w:bCs/>
          <w:u w:val="single"/>
        </w:rPr>
      </w:pPr>
      <w:r>
        <w:rPr>
          <w:b/>
          <w:bCs/>
          <w:u w:val="single"/>
        </w:rPr>
      </w:r>
    </w:p>
    <w:tbl>
      <w:tblPr>
        <w:tblW w:w="9000" w:type="dxa"/>
        <w:jc w:val="start"/>
        <w:tblInd w:w="108" w:type="dxa"/>
        <w:tblLayout w:type="fixed"/>
        <w:tblCellMar>
          <w:top w:w="0" w:type="dxa"/>
          <w:start w:w="108" w:type="dxa"/>
          <w:bottom w:w="0" w:type="dxa"/>
          <w:end w:w="108" w:type="dxa"/>
        </w:tblCellMar>
      </w:tblPr>
      <w:tblGrid>
        <w:gridCol w:w="5040"/>
        <w:gridCol w:w="3960"/>
      </w:tblGrid>
      <w:tr>
        <w:trPr>
          <w:trHeight w:val="63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pacing w:before="0" w:after="0"/>
              <w:rPr>
                <w:u w:val="single"/>
              </w:rPr>
            </w:pPr>
            <w:r>
              <w:rPr>
                <w:u w:val="single"/>
              </w:rPr>
              <w:t>Issue</w:t>
            </w:r>
            <w:r>
              <w:rPr/>
              <w:tab/>
              <w:tab/>
              <w:tab/>
              <w:tab/>
              <w:tab/>
              <w:tab/>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Bembo" w:hAnsi="Bembo" w:cs="Bembo"/>
                <w:sz w:val="26"/>
                <w:u w:val="single"/>
              </w:rPr>
            </w:pPr>
            <w:r>
              <w:rPr>
                <w:rFonts w:cs="Bembo" w:ascii="Bembo" w:hAnsi="Bembo"/>
                <w:sz w:val="26"/>
                <w:u w:val="single"/>
              </w:rPr>
              <w:t>Responsibility</w:t>
            </w:r>
          </w:p>
        </w:tc>
      </w:tr>
      <w:tr>
        <w:trPr>
          <w:trHeight w:val="153"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start"/>
              <w:rPr>
                <w:rFonts w:ascii="Bembo" w:hAnsi="Bembo" w:cs="Bembo"/>
                <w:sz w:val="26"/>
                <w:u w:val="single"/>
              </w:rPr>
            </w:pPr>
            <w:r>
              <w:rPr>
                <w:rFonts w:cs="Bembo"/>
                <w:sz w:val="26"/>
                <w:u w:val="single"/>
              </w:rPr>
            </w:r>
          </w:p>
          <w:p>
            <w:pPr>
              <w:pStyle w:val="BodyText"/>
              <w:spacing w:before="0" w:after="0"/>
              <w:jc w:val="start"/>
              <w:rPr/>
            </w:pPr>
            <w:r>
              <w:rPr/>
              <w:t>1.</w:t>
              <w:tab/>
              <w:t>Central Bank</w:t>
            </w:r>
          </w:p>
          <w:p>
            <w:pPr>
              <w:pStyle w:val="BodyText"/>
              <w:spacing w:before="0" w:after="0"/>
              <w:jc w:val="start"/>
              <w:rPr/>
            </w:pPr>
            <w:r>
              <w:rPr/>
            </w:r>
          </w:p>
          <w:p>
            <w:pPr>
              <w:pStyle w:val="BodyText"/>
              <w:numPr>
                <w:ilvl w:val="0"/>
                <w:numId w:val="16"/>
              </w:numPr>
              <w:spacing w:before="0" w:after="0"/>
              <w:jc w:val="start"/>
              <w:rPr/>
            </w:pPr>
            <w:r>
              <w:rPr/>
              <w:t>Finalize Central Bank guarantee by Sponsors</w:t>
            </w:r>
          </w:p>
          <w:p>
            <w:pPr>
              <w:pStyle w:val="BodyText"/>
              <w:spacing w:before="0" w:after="0"/>
              <w:ind w:start="720" w:end="0"/>
              <w:jc w:val="start"/>
              <w:rPr/>
            </w:pPr>
            <w:r>
              <w:rPr/>
            </w:r>
          </w:p>
          <w:p>
            <w:pPr>
              <w:pStyle w:val="BodyText"/>
              <w:spacing w:before="0" w:after="0"/>
              <w:jc w:val="start"/>
              <w:rPr/>
            </w:pPr>
            <w:r>
              <w:rPr/>
            </w:r>
          </w:p>
          <w:p>
            <w:pPr>
              <w:pStyle w:val="BodyText"/>
              <w:spacing w:before="0" w:after="0"/>
              <w:ind w:start="720" w:end="0"/>
              <w:jc w:val="start"/>
              <w:rPr/>
            </w:pPr>
            <w:r>
              <w:rPr/>
            </w:r>
          </w:p>
          <w:p>
            <w:pPr>
              <w:pStyle w:val="BodyText"/>
              <w:numPr>
                <w:ilvl w:val="0"/>
                <w:numId w:val="16"/>
              </w:numPr>
              <w:spacing w:before="0" w:after="0"/>
              <w:jc w:val="start"/>
              <w:rPr/>
            </w:pPr>
            <w:r>
              <w:rPr/>
              <w:t>Amendments to FIRCE applications</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r>
          </w:p>
          <w:p>
            <w:pPr>
              <w:pStyle w:val="BodyText"/>
              <w:numPr>
                <w:ilvl w:val="0"/>
                <w:numId w:val="16"/>
              </w:numPr>
              <w:spacing w:before="0" w:after="0"/>
              <w:jc w:val="start"/>
              <w:rPr/>
            </w:pPr>
            <w:r>
              <w:rPr/>
              <w:t>Supplementary Agreement</w:t>
            </w:r>
          </w:p>
          <w:p>
            <w:pPr>
              <w:pStyle w:val="BodyText"/>
              <w:spacing w:before="0" w:after="0"/>
              <w:jc w:val="start"/>
              <w:rPr/>
            </w:pPr>
            <w:r>
              <w:rPr/>
            </w:r>
          </w:p>
          <w:p>
            <w:pPr>
              <w:pStyle w:val="BodyText"/>
              <w:spacing w:before="0" w:after="0"/>
              <w:jc w:val="start"/>
              <w:rPr/>
            </w:pPr>
            <w:r>
              <w:rPr/>
            </w:r>
          </w:p>
          <w:p>
            <w:pPr>
              <w:pStyle w:val="BodyText"/>
              <w:numPr>
                <w:ilvl w:val="0"/>
                <w:numId w:val="16"/>
              </w:numPr>
              <w:spacing w:before="0" w:after="0"/>
              <w:jc w:val="start"/>
              <w:rPr/>
            </w:pPr>
            <w:r>
              <w:rPr/>
              <w:t>Status of registration of project documents with Central Bank, including approval of take-or-pay with longer makeup period</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r>
          </w:p>
          <w:p>
            <w:pPr>
              <w:pStyle w:val="BodyText"/>
              <w:numPr>
                <w:ilvl w:val="0"/>
                <w:numId w:val="16"/>
              </w:numPr>
              <w:spacing w:before="0" w:after="0"/>
              <w:jc w:val="start"/>
              <w:rPr/>
            </w:pPr>
            <w:r>
              <w:rPr/>
              <w:t>Status of registration of subdebt</w:t>
            </w:r>
          </w:p>
          <w:p>
            <w:pPr>
              <w:pStyle w:val="BodyText"/>
              <w:spacing w:before="0" w:after="0"/>
              <w:jc w:val="start"/>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start"/>
              <w:rPr/>
            </w:pPr>
            <w:r>
              <w:rPr/>
            </w:r>
          </w:p>
          <w:p>
            <w:pPr>
              <w:pStyle w:val="BodyText"/>
              <w:spacing w:before="0" w:after="0"/>
              <w:jc w:val="start"/>
              <w:rPr/>
            </w:pPr>
            <w:r>
              <w:rPr/>
            </w:r>
          </w:p>
          <w:p>
            <w:pPr>
              <w:pStyle w:val="BodyText"/>
              <w:spacing w:before="0" w:after="0"/>
              <w:jc w:val="start"/>
              <w:rPr/>
            </w:pPr>
            <w:r>
              <w:rPr/>
            </w:r>
          </w:p>
          <w:p>
            <w:pPr>
              <w:pStyle w:val="BodyText"/>
              <w:numPr>
                <w:ilvl w:val="0"/>
                <w:numId w:val="18"/>
              </w:numPr>
              <w:spacing w:before="0" w:after="0"/>
              <w:jc w:val="start"/>
              <w:rPr/>
            </w:pPr>
            <w:r>
              <w:rPr/>
              <w:t>Lenders and Enron had conference call on 4/18; FF (Raciti) to distribute revised guarantee by April 23</w:t>
            </w:r>
          </w:p>
          <w:p>
            <w:pPr>
              <w:pStyle w:val="BodyText"/>
              <w:spacing w:before="0" w:after="0"/>
              <w:jc w:val="start"/>
              <w:rPr/>
            </w:pPr>
            <w:r>
              <w:rPr/>
            </w:r>
          </w:p>
          <w:p>
            <w:pPr>
              <w:pStyle w:val="BodyText"/>
              <w:numPr>
                <w:ilvl w:val="0"/>
                <w:numId w:val="18"/>
              </w:numPr>
              <w:spacing w:before="0" w:after="0"/>
              <w:jc w:val="start"/>
              <w:rPr/>
            </w:pPr>
            <w:r>
              <w:rPr/>
              <w:t>OPIC (Mervenne) to signoff once receive new schedule from Enron and reset first payment date</w:t>
            </w:r>
          </w:p>
          <w:p>
            <w:pPr>
              <w:pStyle w:val="BodyText"/>
              <w:spacing w:before="0" w:after="0"/>
              <w:jc w:val="start"/>
              <w:rPr/>
            </w:pPr>
            <w:r>
              <w:rPr/>
            </w:r>
          </w:p>
          <w:p>
            <w:pPr>
              <w:pStyle w:val="BodyText"/>
              <w:numPr>
                <w:ilvl w:val="0"/>
                <w:numId w:val="18"/>
              </w:numPr>
              <w:spacing w:before="0" w:after="0"/>
              <w:jc w:val="start"/>
              <w:rPr/>
            </w:pPr>
            <w:r>
              <w:rPr/>
              <w:t>C&amp;P (Unna) to discuss with KfW and provide comments</w:t>
            </w:r>
          </w:p>
          <w:p>
            <w:pPr>
              <w:pStyle w:val="BodyText"/>
              <w:spacing w:before="0" w:after="0"/>
              <w:jc w:val="start"/>
              <w:rPr/>
            </w:pPr>
            <w:r>
              <w:rPr/>
            </w:r>
          </w:p>
          <w:p>
            <w:pPr>
              <w:pStyle w:val="BodyText"/>
              <w:numPr>
                <w:ilvl w:val="0"/>
                <w:numId w:val="18"/>
              </w:numPr>
              <w:spacing w:before="0" w:after="0"/>
              <w:jc w:val="start"/>
              <w:rPr/>
            </w:pPr>
            <w:r>
              <w:rPr/>
              <w:t>Enron (Lammers, Gay) to advise Lenders of any developments in discussions between Furnas and Central Bank re extended makeup period</w:t>
            </w:r>
          </w:p>
          <w:p>
            <w:pPr>
              <w:pStyle w:val="BodyText"/>
              <w:spacing w:before="0" w:after="0"/>
              <w:jc w:val="start"/>
              <w:rPr/>
            </w:pPr>
            <w:r>
              <w:rPr/>
            </w:r>
          </w:p>
          <w:p>
            <w:pPr>
              <w:pStyle w:val="BodyText"/>
              <w:numPr>
                <w:ilvl w:val="0"/>
                <w:numId w:val="18"/>
              </w:numPr>
              <w:spacing w:before="0" w:after="0"/>
              <w:jc w:val="start"/>
              <w:rPr/>
            </w:pPr>
            <w:r>
              <w:rPr/>
              <w:t xml:space="preserve">V&amp;E (Barquin) to forward information to FF (Raciti) </w:t>
            </w:r>
          </w:p>
          <w:p>
            <w:pPr>
              <w:pStyle w:val="BodyText"/>
              <w:spacing w:before="0" w:after="0"/>
              <w:jc w:val="start"/>
              <w:rPr/>
            </w:pPr>
            <w:r>
              <w:rPr/>
            </w:r>
          </w:p>
        </w:tc>
      </w:tr>
      <w:tr>
        <w:trPr>
          <w:trHeight w:val="180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2.</w:t>
              <w:tab/>
              <w:t>YPF/Gas Supply</w:t>
            </w:r>
          </w:p>
          <w:p>
            <w:pPr>
              <w:pStyle w:val="BodyText"/>
              <w:spacing w:before="0" w:after="0"/>
              <w:rPr/>
            </w:pPr>
            <w:r>
              <w:rPr/>
            </w:r>
          </w:p>
          <w:p>
            <w:pPr>
              <w:pStyle w:val="BodyText"/>
              <w:numPr>
                <w:ilvl w:val="0"/>
                <w:numId w:val="14"/>
              </w:numPr>
              <w:spacing w:before="0" w:after="0"/>
              <w:rPr/>
            </w:pPr>
            <w:r>
              <w:rPr/>
              <w:t>Finalize Sponsor Guarantee re gas supply</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14"/>
              </w:numPr>
              <w:spacing w:before="0" w:after="0"/>
              <w:rPr/>
            </w:pPr>
            <w:r>
              <w:rPr/>
              <w:t>Gas Price Differential Guaranty</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14"/>
              </w:numPr>
              <w:spacing w:before="0" w:after="0"/>
              <w:rPr/>
            </w:pPr>
            <w:r>
              <w:rPr/>
              <w:t xml:space="preserve">Status of Amendment to GasBol Transportation Agreement </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17"/>
              </w:numPr>
              <w:spacing w:before="0" w:after="0"/>
              <w:jc w:val="start"/>
              <w:rPr/>
            </w:pPr>
            <w:r>
              <w:rPr/>
              <w:t xml:space="preserve">Lenders and Enron had conference call on 4/18; FF (Raciti) to distribute revised guarantee on 4/20; FF (Raciti) and C&amp;P (Schumacher) to prepare letter to EPE re fuel supply conditions to loan by 4/25 and Enron (Lammers) to prepare letter to YPF (offer to participate) by 4/25; V&amp;E (Lefler) to draft a Replacement Contract </w:t>
            </w:r>
          </w:p>
          <w:p>
            <w:pPr>
              <w:pStyle w:val="Normal"/>
              <w:spacing w:before="0" w:after="0"/>
              <w:rPr>
                <w:rFonts w:ascii="Bembo" w:hAnsi="Bembo" w:cs="Bembo"/>
                <w:sz w:val="26"/>
              </w:rPr>
            </w:pPr>
            <w:r>
              <w:rPr>
                <w:rFonts w:cs="Bembo" w:ascii="Bembo" w:hAnsi="Bembo"/>
                <w:sz w:val="26"/>
              </w:rPr>
            </w:r>
          </w:p>
          <w:p>
            <w:pPr>
              <w:pStyle w:val="BodyText"/>
              <w:numPr>
                <w:ilvl w:val="0"/>
                <w:numId w:val="17"/>
              </w:numPr>
              <w:tabs>
                <w:tab w:val="clear" w:pos="720"/>
              </w:tabs>
              <w:spacing w:before="0" w:after="0"/>
              <w:rPr/>
            </w:pPr>
            <w:r>
              <w:rPr/>
              <w:t>V&amp;E (Lefler) and Enron (Novak) to coordinate distribution of agreement to Lenders by 4/20</w:t>
            </w:r>
          </w:p>
          <w:p>
            <w:pPr>
              <w:pStyle w:val="BodyText"/>
              <w:spacing w:before="0" w:after="0"/>
              <w:rPr/>
            </w:pPr>
            <w:r>
              <w:rPr/>
            </w:r>
          </w:p>
          <w:p>
            <w:pPr>
              <w:pStyle w:val="BodyText"/>
              <w:numPr>
                <w:ilvl w:val="0"/>
                <w:numId w:val="17"/>
              </w:numPr>
              <w:tabs>
                <w:tab w:val="clear" w:pos="720"/>
              </w:tabs>
              <w:spacing w:before="0" w:after="0"/>
              <w:rPr/>
            </w:pPr>
            <w:r>
              <w:rPr/>
              <w:t xml:space="preserve">V&amp;E (Lefler) to advise when it will be executed </w:t>
            </w:r>
          </w:p>
          <w:p>
            <w:pPr>
              <w:pStyle w:val="Normal"/>
              <w:spacing w:before="0" w:after="0"/>
              <w:rPr>
                <w:rFonts w:ascii="Bembo" w:hAnsi="Bembo" w:cs="Bembo"/>
                <w:sz w:val="26"/>
              </w:rPr>
            </w:pPr>
            <w:r>
              <w:rPr>
                <w:rFonts w:cs="Bembo" w:ascii="Bembo" w:hAnsi="Bembo"/>
                <w:sz w:val="26"/>
              </w:rPr>
            </w:r>
          </w:p>
        </w:tc>
      </w:tr>
      <w:tr>
        <w:trPr>
          <w:trHeight w:val="180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lang w:val="es-ES"/>
              </w:rPr>
            </w:pPr>
            <w:r>
              <w:rPr>
                <w:lang w:val="es-ES"/>
              </w:rPr>
              <w:t>3.</w:t>
              <w:tab/>
              <w:t>PPA</w:t>
            </w:r>
          </w:p>
          <w:p>
            <w:pPr>
              <w:pStyle w:val="BodyText"/>
              <w:spacing w:before="0" w:after="0"/>
              <w:rPr>
                <w:lang w:val="es-ES"/>
              </w:rPr>
            </w:pPr>
            <w:r>
              <w:rPr>
                <w:lang w:val="es-ES"/>
              </w:rPr>
            </w:r>
          </w:p>
          <w:p>
            <w:pPr>
              <w:pStyle w:val="BodyText"/>
              <w:numPr>
                <w:ilvl w:val="0"/>
                <w:numId w:val="21"/>
              </w:numPr>
              <w:spacing w:before="0" w:after="0"/>
              <w:rPr>
                <w:lang w:val="es-ES"/>
              </w:rPr>
            </w:pPr>
            <w:r>
              <w:rPr>
                <w:lang w:val="es-ES"/>
              </w:rPr>
              <w:t>Aditivo No. 2</w:t>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spacing w:before="0" w:after="0"/>
              <w:ind w:start="720" w:end="0"/>
              <w:rPr>
                <w:lang w:val="es-ES"/>
              </w:rPr>
            </w:pPr>
            <w:r>
              <w:rPr>
                <w:lang w:val="es-ES"/>
              </w:rPr>
            </w:r>
          </w:p>
          <w:p>
            <w:pPr>
              <w:pStyle w:val="BodyText"/>
              <w:numPr>
                <w:ilvl w:val="0"/>
                <w:numId w:val="21"/>
              </w:numPr>
              <w:spacing w:before="0" w:after="0"/>
              <w:rPr>
                <w:lang w:val="es-ES"/>
              </w:rPr>
            </w:pPr>
            <w:r>
              <w:rPr>
                <w:lang w:val="es-ES"/>
              </w:rPr>
              <w:t>Aditivo No. 3</w:t>
            </w:r>
          </w:p>
          <w:p>
            <w:pPr>
              <w:pStyle w:val="BodyText"/>
              <w:spacing w:before="0" w:after="0"/>
              <w:rPr>
                <w:lang w:val="es-ES"/>
              </w:rPr>
            </w:pPr>
            <w:r>
              <w:rPr>
                <w:lang w:val="es-ES"/>
              </w:rPr>
            </w:r>
          </w:p>
          <w:p>
            <w:pPr>
              <w:pStyle w:val="BodyText"/>
              <w:spacing w:before="0" w:after="0"/>
              <w:rPr>
                <w:lang w:val="es-ES"/>
              </w:rPr>
            </w:pPr>
            <w:r>
              <w:rPr>
                <w:lang w:val="es-ES"/>
              </w:rPr>
            </w:r>
          </w:p>
          <w:p>
            <w:pPr>
              <w:pStyle w:val="BodyText"/>
              <w:spacing w:before="0" w:after="0"/>
              <w:rPr>
                <w:lang w:val="es-ES"/>
              </w:rPr>
            </w:pPr>
            <w:r>
              <w:rPr>
                <w:lang w:val="es-ES"/>
              </w:rPr>
            </w:r>
          </w:p>
          <w:p>
            <w:pPr>
              <w:pStyle w:val="BodyText"/>
              <w:spacing w:before="0" w:after="0"/>
              <w:rPr>
                <w:lang w:val="es-ES"/>
              </w:rPr>
            </w:pPr>
            <w:r>
              <w:rPr>
                <w:lang w:val="es-ES"/>
              </w:rPr>
            </w:r>
          </w:p>
          <w:p>
            <w:pPr>
              <w:pStyle w:val="BodyText"/>
              <w:spacing w:before="0" w:after="0"/>
              <w:rPr>
                <w:lang w:val="es-ES"/>
              </w:rPr>
            </w:pPr>
            <w:r>
              <w:rPr>
                <w:lang w:val="es-ES"/>
              </w:rPr>
            </w:r>
          </w:p>
          <w:p>
            <w:pPr>
              <w:pStyle w:val="BodyText"/>
              <w:spacing w:before="0" w:after="0"/>
              <w:rPr>
                <w:lang w:val="es-ES"/>
              </w:rPr>
            </w:pPr>
            <w:r>
              <w:rPr>
                <w:lang w:val="es-ES"/>
              </w:rPr>
            </w:r>
          </w:p>
          <w:p>
            <w:pPr>
              <w:pStyle w:val="BodyText"/>
              <w:numPr>
                <w:ilvl w:val="0"/>
                <w:numId w:val="21"/>
              </w:numPr>
              <w:spacing w:before="0" w:after="0"/>
              <w:rPr/>
            </w:pPr>
            <w:r>
              <w:rPr/>
              <w:t>Eletrobrás / Furnas consent and opinion</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21"/>
              </w:numPr>
              <w:spacing w:before="0" w:after="0"/>
              <w:rPr/>
            </w:pPr>
            <w:r>
              <w:rPr/>
              <w:t>Force majeure relating to pipeline delays</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21"/>
              </w:numPr>
              <w:spacing w:before="0" w:after="0"/>
              <w:rPr/>
            </w:pPr>
            <w:r>
              <w:rPr/>
              <w:t>S&amp;W Site Visit</w:t>
            </w:r>
          </w:p>
        </w:tc>
        <w:tc>
          <w:tcPr>
            <w:tcW w:w="396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pPr>
            <w:r>
              <w:rPr/>
            </w:r>
          </w:p>
          <w:p>
            <w:pPr>
              <w:pStyle w:val="BodyText"/>
              <w:spacing w:before="0" w:after="0"/>
              <w:rPr/>
            </w:pPr>
            <w:r>
              <w:rPr/>
            </w:r>
          </w:p>
          <w:p>
            <w:pPr>
              <w:pStyle w:val="BodyText"/>
              <w:spacing w:before="0" w:after="0"/>
              <w:rPr/>
            </w:pPr>
            <w:r>
              <w:rPr/>
            </w:r>
          </w:p>
          <w:p>
            <w:pPr>
              <w:pStyle w:val="BodyText"/>
              <w:numPr>
                <w:ilvl w:val="0"/>
                <w:numId w:val="13"/>
              </w:numPr>
              <w:spacing w:before="0" w:after="0"/>
              <w:jc w:val="start"/>
              <w:rPr/>
            </w:pPr>
            <w:r>
              <w:rPr/>
              <w:t>Signature of Eletrobrás pending final language of the Legal Opinion - Enron (Lammers) to follow up (Legal Opinion would be on Eletrobras board agenda on 4/18 or 4/25)</w:t>
            </w:r>
          </w:p>
          <w:p>
            <w:pPr>
              <w:pStyle w:val="BodyText"/>
              <w:spacing w:before="0" w:after="0"/>
              <w:rPr/>
            </w:pPr>
            <w:r>
              <w:rPr/>
            </w:r>
          </w:p>
          <w:p>
            <w:pPr>
              <w:pStyle w:val="BodyText"/>
              <w:numPr>
                <w:ilvl w:val="0"/>
                <w:numId w:val="13"/>
              </w:numPr>
              <w:spacing w:before="0" w:after="0"/>
              <w:jc w:val="start"/>
              <w:rPr/>
            </w:pPr>
            <w:r>
              <w:rPr/>
              <w:t>Signature of Eletrobrás pending final language of the legal opinion; Enron (Lammers) to follow up (Furnas has already approved the language)</w:t>
            </w:r>
          </w:p>
          <w:p>
            <w:pPr>
              <w:pStyle w:val="BodyText"/>
              <w:spacing w:before="0" w:after="0"/>
              <w:rPr/>
            </w:pPr>
            <w:r>
              <w:rPr/>
            </w:r>
          </w:p>
          <w:p>
            <w:pPr>
              <w:pStyle w:val="BodyText"/>
              <w:numPr>
                <w:ilvl w:val="0"/>
                <w:numId w:val="13"/>
              </w:numPr>
              <w:spacing w:before="0" w:after="0"/>
              <w:jc w:val="start"/>
              <w:rPr/>
            </w:pPr>
            <w:r>
              <w:rPr/>
              <w:t xml:space="preserve">Lenders conveyed final comments to legal opinion; TF (Bonelli) to coordinate delivery of final legal opinion to Maria Aparecida; TF (Bonelli) to prepare draft of Furnas opinion based on Eletrobras opinion; Enron (Novak) to advise re whether Eletrobras will insist on comments to Consent after meeting between Banantine and Fermino </w:t>
            </w:r>
          </w:p>
          <w:p>
            <w:pPr>
              <w:pStyle w:val="BodyText"/>
              <w:spacing w:before="0" w:after="0"/>
              <w:rPr/>
            </w:pPr>
            <w:r>
              <w:rPr/>
            </w:r>
          </w:p>
          <w:p>
            <w:pPr>
              <w:pStyle w:val="BodyText"/>
              <w:numPr>
                <w:ilvl w:val="0"/>
                <w:numId w:val="13"/>
              </w:numPr>
              <w:spacing w:before="0" w:after="0"/>
              <w:jc w:val="start"/>
              <w:rPr/>
            </w:pPr>
            <w:r>
              <w:rPr/>
              <w:t xml:space="preserve">OPIC (Mervenne, Mahaffey), C&amp;P (Shapiro) to advise KfW (Klusener) re preliminary conference call  among Barquin, Shapiro, Friedlander, and O'Brien to discuss Lenders' questions re FM; Enron (Lammers) to send Lenders </w:t>
              <w:tab/>
              <w:t>copy of talking paper sent to Furnas; EPE (Powell) to advise of updates upon return to office 4/24</w:t>
            </w:r>
          </w:p>
          <w:p>
            <w:pPr>
              <w:pStyle w:val="BodyText"/>
              <w:spacing w:before="0" w:after="0"/>
              <w:jc w:val="start"/>
              <w:rPr/>
            </w:pPr>
            <w:r>
              <w:rPr/>
            </w:r>
          </w:p>
          <w:p>
            <w:pPr>
              <w:pStyle w:val="BodyText"/>
              <w:numPr>
                <w:ilvl w:val="0"/>
                <w:numId w:val="13"/>
              </w:numPr>
              <w:spacing w:before="0" w:after="0"/>
              <w:jc w:val="start"/>
              <w:rPr/>
            </w:pPr>
            <w:r>
              <w:rPr/>
              <w:t>S&amp;W (Barta) available for site visit in early May; OPIC (Mervenne) has prepared list of issues to be discussed at site visit in early May (e.g., stabilizers needed) (S&amp;W to discuss with Powell and/or ISO/ONS issues re dispatch); Enron (Ayres) to coordinate call between S&amp;W and Siemens; Enron (Gay) to arrange for execution of S&amp;W contract before site visit</w:t>
            </w:r>
          </w:p>
          <w:p>
            <w:pPr>
              <w:pStyle w:val="BodyText"/>
              <w:spacing w:before="0" w:after="0"/>
              <w:rPr/>
            </w:pPr>
            <w:r>
              <w:rPr/>
            </w:r>
          </w:p>
        </w:tc>
      </w:tr>
      <w:tr>
        <w:trPr>
          <w:trHeight w:val="968"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4.</w:t>
              <w:tab/>
              <w:t>Governmental Authorizations</w:t>
            </w:r>
          </w:p>
          <w:p>
            <w:pPr>
              <w:pStyle w:val="BodyText"/>
              <w:spacing w:before="0" w:after="0"/>
              <w:rPr/>
            </w:pPr>
            <w:r>
              <w:rPr/>
            </w:r>
          </w:p>
          <w:p>
            <w:pPr>
              <w:pStyle w:val="BodyText"/>
              <w:numPr>
                <w:ilvl w:val="0"/>
                <w:numId w:val="7"/>
              </w:numPr>
              <w:spacing w:before="0" w:after="0"/>
              <w:rPr/>
            </w:pPr>
            <w:r>
              <w:rPr/>
              <w:t>Status of IBAMA permit (installation license)</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7"/>
              </w:numPr>
              <w:spacing w:before="0" w:after="0"/>
              <w:rPr/>
            </w:pPr>
            <w:r>
              <w:rPr/>
              <w:t>Status of ANEEL letter</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32"/>
              </w:numPr>
              <w:spacing w:before="0" w:after="0"/>
              <w:jc w:val="start"/>
              <w:rPr/>
            </w:pPr>
            <w:r>
              <w:rPr/>
              <w:t>Enron (Lammers) to advise Lenders when receive IBAMA permit (likely to be on the weeks of 4/17 or 4/24), impact on construction schedule, and amendments to EPC Contract</w:t>
            </w:r>
          </w:p>
          <w:p>
            <w:pPr>
              <w:pStyle w:val="Normal"/>
              <w:spacing w:before="0" w:after="0"/>
              <w:rPr>
                <w:rFonts w:ascii="Bembo" w:hAnsi="Bembo" w:cs="Bembo"/>
                <w:sz w:val="26"/>
              </w:rPr>
            </w:pPr>
            <w:r>
              <w:rPr>
                <w:rFonts w:cs="Bembo" w:ascii="Bembo" w:hAnsi="Bembo"/>
                <w:sz w:val="26"/>
              </w:rPr>
            </w:r>
          </w:p>
          <w:p>
            <w:pPr>
              <w:pStyle w:val="BodyText"/>
              <w:numPr>
                <w:ilvl w:val="0"/>
                <w:numId w:val="32"/>
              </w:numPr>
              <w:spacing w:before="0" w:after="0"/>
              <w:jc w:val="start"/>
              <w:rPr/>
            </w:pPr>
            <w:r>
              <w:rPr/>
              <w:t xml:space="preserve">Enron (Lammers) to forward to FF (Raciti) copy of the letter that was sent to ANEEL  </w:t>
            </w:r>
          </w:p>
          <w:p>
            <w:pPr>
              <w:pStyle w:val="Normal"/>
              <w:spacing w:before="0" w:after="0"/>
              <w:rPr>
                <w:rFonts w:ascii="Bembo" w:hAnsi="Bembo" w:eastAsia="Bembo" w:cs="Bembo"/>
                <w:sz w:val="26"/>
              </w:rPr>
            </w:pPr>
            <w:r>
              <w:rPr>
                <w:rFonts w:eastAsia="Bembo" w:cs="Bembo" w:ascii="Bembo" w:hAnsi="Bembo"/>
                <w:sz w:val="26"/>
              </w:rPr>
              <w:t xml:space="preserve">  </w:t>
            </w:r>
          </w:p>
        </w:tc>
      </w:tr>
      <w:tr>
        <w:trPr>
          <w:trHeight w:val="968"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5.</w:t>
              <w:tab/>
              <w:t>Amendment to CTA</w:t>
            </w:r>
          </w:p>
          <w:p>
            <w:pPr>
              <w:pStyle w:val="BodyText"/>
              <w:spacing w:before="0" w:after="0"/>
              <w:rPr/>
            </w:pPr>
            <w:r>
              <w:rPr/>
            </w:r>
          </w:p>
          <w:p>
            <w:pPr>
              <w:pStyle w:val="BodyText"/>
              <w:numPr>
                <w:ilvl w:val="0"/>
                <w:numId w:val="19"/>
              </w:numPr>
              <w:spacing w:before="0" w:after="0"/>
              <w:rPr/>
            </w:pPr>
            <w:r>
              <w:rPr/>
              <w:t>Extension of Commitments</w:t>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rPr/>
            </w:pPr>
            <w:r>
              <w:rPr/>
            </w:r>
          </w:p>
          <w:p>
            <w:pPr>
              <w:pStyle w:val="BodyText"/>
              <w:numPr>
                <w:ilvl w:val="0"/>
                <w:numId w:val="19"/>
              </w:numPr>
              <w:spacing w:before="0" w:after="0"/>
              <w:rPr/>
            </w:pPr>
            <w:r>
              <w:rPr/>
              <w:t>Cleanup changes</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20"/>
              </w:numPr>
              <w:spacing w:before="0" w:after="0"/>
              <w:jc w:val="start"/>
              <w:rPr/>
            </w:pPr>
            <w:r>
              <w:rPr/>
              <w:t xml:space="preserve">Enron (Friedlander) and V&amp;E (Barquin) to give comments to Lenders on Amendment No. 1 </w:t>
            </w:r>
          </w:p>
          <w:p>
            <w:pPr>
              <w:pStyle w:val="Normal"/>
              <w:spacing w:before="0" w:after="0"/>
              <w:jc w:val="start"/>
              <w:rPr>
                <w:rFonts w:ascii="Bembo" w:hAnsi="Bembo" w:cs="Bembo"/>
                <w:sz w:val="26"/>
              </w:rPr>
            </w:pPr>
            <w:r>
              <w:rPr>
                <w:rFonts w:cs="Bembo" w:ascii="Bembo" w:hAnsi="Bembo"/>
                <w:sz w:val="26"/>
              </w:rPr>
            </w:r>
          </w:p>
          <w:p>
            <w:pPr>
              <w:pStyle w:val="BodyText"/>
              <w:numPr>
                <w:ilvl w:val="0"/>
                <w:numId w:val="20"/>
              </w:numPr>
              <w:spacing w:before="0" w:after="0"/>
              <w:jc w:val="start"/>
              <w:rPr/>
            </w:pPr>
            <w:r>
              <w:rPr/>
              <w:t>Lenders to review list of proposed changes sent by V&amp;E (Rankin); after such review FF (Elorza) to distribute draft Amendment No. 2</w:t>
            </w:r>
          </w:p>
          <w:p>
            <w:pPr>
              <w:pStyle w:val="Normal"/>
              <w:spacing w:before="0" w:after="0"/>
              <w:rPr>
                <w:rFonts w:ascii="Bembo" w:hAnsi="Bembo" w:cs="Bembo"/>
                <w:sz w:val="26"/>
              </w:rPr>
            </w:pPr>
            <w:r>
              <w:rPr>
                <w:rFonts w:cs="Bembo" w:ascii="Bembo" w:hAnsi="Bembo"/>
                <w:sz w:val="26"/>
              </w:rPr>
            </w:r>
          </w:p>
        </w:tc>
      </w:tr>
      <w:tr>
        <w:trPr>
          <w:trHeight w:val="713"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6.</w:t>
              <w:tab/>
              <w:t>Bolivian Security Documents</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TOC5"/>
              <w:tabs>
                <w:tab w:val="clear" w:pos="8309"/>
              </w:tabs>
              <w:spacing w:before="0" w:after="0"/>
              <w:rPr>
                <w:caps w:val="false"/>
                <w:smallCaps w:val="false"/>
              </w:rPr>
            </w:pPr>
            <w:r>
              <w:rPr>
                <w:caps w:val="false"/>
                <w:smallCaps w:val="false"/>
              </w:rPr>
              <w:t>C&amp;P (Sierra-Escalante) to distribute memo re step-in; conference call tentatively scheduled for 4/27 among V&amp;E, C&amp;P, BA, IA and FF to discuss final changes (if any) to Bolivian Security Documents</w:t>
            </w:r>
          </w:p>
          <w:p>
            <w:pPr>
              <w:pStyle w:val="TOC5"/>
              <w:tabs>
                <w:tab w:val="clear" w:pos="8309"/>
              </w:tabs>
              <w:spacing w:before="0" w:after="0"/>
              <w:rPr>
                <w:caps w:val="false"/>
                <w:smallCaps w:val="false"/>
              </w:rPr>
            </w:pPr>
            <w:r>
              <w:rPr>
                <w:caps w:val="false"/>
                <w:smallCaps w:val="false"/>
              </w:rPr>
            </w:r>
          </w:p>
        </w:tc>
      </w:tr>
      <w:tr>
        <w:trPr>
          <w:trHeight w:val="994"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caps w:val="false"/>
                <w:smallCaps w:val="false"/>
                <w:sz w:val="26"/>
              </w:rPr>
            </w:pPr>
            <w:r>
              <w:rPr>
                <w:rFonts w:cs="Bembo"/>
                <w:caps w:val="false"/>
                <w:smallCaps w:val="false"/>
                <w:sz w:val="26"/>
              </w:rPr>
            </w:r>
          </w:p>
          <w:p>
            <w:pPr>
              <w:pStyle w:val="BodyText"/>
              <w:spacing w:before="0" w:after="0"/>
              <w:rPr/>
            </w:pPr>
            <w:r>
              <w:rPr/>
              <w:t>7.</w:t>
              <w:tab/>
              <w:t>Brazilian Security Documents</w:t>
            </w:r>
          </w:p>
          <w:p>
            <w:pPr>
              <w:pStyle w:val="BodyText"/>
              <w:spacing w:before="0" w:after="0"/>
              <w:rPr/>
            </w:pPr>
            <w:r>
              <w:rPr/>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start"/>
              <w:rPr>
                <w:rFonts w:ascii="Bembo" w:hAnsi="Bembo" w:cs="Bembo"/>
                <w:sz w:val="26"/>
              </w:rPr>
            </w:pPr>
            <w:r>
              <w:rPr>
                <w:rFonts w:cs="Bembo" w:ascii="Bembo" w:hAnsi="Bembo"/>
                <w:sz w:val="26"/>
              </w:rPr>
            </w:r>
          </w:p>
          <w:p>
            <w:pPr>
              <w:pStyle w:val="Normal"/>
              <w:spacing w:before="0" w:after="0"/>
              <w:jc w:val="start"/>
              <w:rPr>
                <w:rFonts w:ascii="Bembo" w:hAnsi="Bembo" w:cs="Bembo"/>
                <w:sz w:val="26"/>
              </w:rPr>
            </w:pPr>
            <w:r>
              <w:rPr/>
              <w:t>C&amp;P (Sierra-Escalante) to distribute memo re step-in; conference call tentatively scheduled for 4/27 among V&amp;E, C&amp;P, BA, IA and FF to discuss final changes (if any) to Brazilian Security Documents</w:t>
            </w:r>
          </w:p>
        </w:tc>
      </w:tr>
      <w:tr>
        <w:trPr>
          <w:trHeight w:val="1131"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8.</w:t>
              <w:tab/>
              <w:t>Taxes</w:t>
            </w:r>
          </w:p>
          <w:p>
            <w:pPr>
              <w:pStyle w:val="BodyText"/>
              <w:spacing w:before="0" w:after="0"/>
              <w:rPr/>
            </w:pPr>
            <w:r>
              <w:rPr/>
            </w:r>
          </w:p>
          <w:p>
            <w:pPr>
              <w:pStyle w:val="BodyText"/>
              <w:numPr>
                <w:ilvl w:val="0"/>
                <w:numId w:val="29"/>
              </w:numPr>
              <w:spacing w:before="0" w:after="0"/>
              <w:rPr/>
            </w:pPr>
            <w:r>
              <w:rPr/>
              <w:t>Tax issues raised by Citibank</w:t>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rPr/>
            </w:pPr>
            <w:r>
              <w:rPr/>
            </w:r>
          </w:p>
          <w:p>
            <w:pPr>
              <w:pStyle w:val="BodyText"/>
              <w:numPr>
                <w:ilvl w:val="0"/>
                <w:numId w:val="29"/>
              </w:numPr>
              <w:spacing w:before="0" w:after="0"/>
              <w:rPr/>
            </w:pPr>
            <w:r>
              <w:rPr/>
              <w:t>Taxes payable with respect to subdebt</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24"/>
              </w:numPr>
              <w:spacing w:before="0" w:after="0"/>
              <w:jc w:val="start"/>
              <w:rPr/>
            </w:pPr>
            <w:r>
              <w:rPr/>
              <w:t>FF (Raciti) has advised Citibank that according to PWC there is not issue</w:t>
            </w:r>
          </w:p>
          <w:p>
            <w:pPr>
              <w:pStyle w:val="Normal"/>
              <w:spacing w:before="0" w:after="0"/>
              <w:rPr>
                <w:rFonts w:ascii="Bembo" w:hAnsi="Bembo" w:cs="Bembo"/>
                <w:sz w:val="26"/>
              </w:rPr>
            </w:pPr>
            <w:r>
              <w:rPr>
                <w:rFonts w:cs="Bembo" w:ascii="Bembo" w:hAnsi="Bembo"/>
                <w:sz w:val="26"/>
              </w:rPr>
            </w:r>
          </w:p>
          <w:p>
            <w:pPr>
              <w:pStyle w:val="BodyText"/>
              <w:numPr>
                <w:ilvl w:val="0"/>
                <w:numId w:val="24"/>
              </w:numPr>
              <w:spacing w:before="0" w:after="0"/>
              <w:jc w:val="start"/>
              <w:rPr/>
            </w:pPr>
            <w:r>
              <w:rPr/>
              <w:t>OPIC (Mervenne) to arrange call with PWC (Martin) and Enron (Hopkinson) re effect on model and whether issue can be addressed by drafting changes (i.e., if tax computed on accrual basis, can document state that interest does not accrue until interest paid?)</w:t>
            </w:r>
          </w:p>
          <w:p>
            <w:pPr>
              <w:pStyle w:val="BodyText"/>
              <w:spacing w:before="0" w:after="0"/>
              <w:rPr/>
            </w:pPr>
            <w:r>
              <w:rPr/>
            </w:r>
          </w:p>
        </w:tc>
      </w:tr>
      <w:tr>
        <w:trPr>
          <w:trHeight w:val="180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9.</w:t>
              <w:tab/>
              <w:t>Liquid Fuel Supply Contract</w:t>
            </w:r>
          </w:p>
          <w:p>
            <w:pPr>
              <w:pStyle w:val="BodyText"/>
              <w:spacing w:before="0" w:after="0"/>
              <w:rPr/>
            </w:pPr>
            <w:r>
              <w:rPr/>
            </w:r>
          </w:p>
          <w:p>
            <w:pPr>
              <w:pStyle w:val="BodyText"/>
              <w:numPr>
                <w:ilvl w:val="0"/>
                <w:numId w:val="9"/>
              </w:numPr>
              <w:spacing w:before="0" w:after="0"/>
              <w:rPr/>
            </w:pPr>
            <w:r>
              <w:rPr/>
              <w:t>Translation of signed copy</w:t>
            </w:r>
          </w:p>
          <w:p>
            <w:pPr>
              <w:pStyle w:val="BodyText"/>
              <w:spacing w:before="0" w:after="0"/>
              <w:ind w:start="720" w:end="0"/>
              <w:rPr/>
            </w:pPr>
            <w:r>
              <w:rPr/>
            </w:r>
          </w:p>
          <w:p>
            <w:pPr>
              <w:pStyle w:val="BodyText"/>
              <w:spacing w:before="0" w:after="0"/>
              <w:ind w:start="720" w:end="0"/>
              <w:rPr/>
            </w:pPr>
            <w:r>
              <w:rPr/>
            </w:r>
          </w:p>
          <w:p>
            <w:pPr>
              <w:pStyle w:val="BodyText"/>
              <w:spacing w:before="0" w:after="0"/>
              <w:ind w:start="720" w:end="0"/>
              <w:rPr/>
            </w:pPr>
            <w:r>
              <w:rPr/>
            </w:r>
          </w:p>
          <w:p>
            <w:pPr>
              <w:pStyle w:val="BodyText"/>
              <w:numPr>
                <w:ilvl w:val="0"/>
                <w:numId w:val="9"/>
              </w:numPr>
              <w:spacing w:before="0" w:after="0"/>
              <w:rPr/>
            </w:pPr>
            <w:r>
              <w:rPr/>
              <w:t>Petrobrás opinion and consent</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spacing w:before="0" w:after="0"/>
              <w:rPr>
                <w:rFonts w:ascii="Bembo" w:hAnsi="Bembo" w:cs="Bembo"/>
                <w:sz w:val="26"/>
              </w:rPr>
            </w:pPr>
            <w:r>
              <w:rPr>
                <w:rFonts w:cs="Bembo"/>
                <w:sz w:val="26"/>
              </w:rPr>
            </w:r>
          </w:p>
          <w:p>
            <w:pPr>
              <w:pStyle w:val="BodyText"/>
              <w:numPr>
                <w:ilvl w:val="0"/>
                <w:numId w:val="23"/>
              </w:numPr>
              <w:spacing w:before="0" w:after="0"/>
              <w:jc w:val="start"/>
              <w:rPr/>
            </w:pPr>
            <w:r>
              <w:rPr/>
              <w:t>Enron (Novak) to track down translation and send to Lenders</w:t>
            </w:r>
          </w:p>
          <w:p>
            <w:pPr>
              <w:pStyle w:val="Normal"/>
              <w:spacing w:before="0" w:after="0"/>
              <w:jc w:val="start"/>
              <w:rPr>
                <w:rFonts w:ascii="Bembo" w:hAnsi="Bembo" w:cs="Bembo"/>
                <w:sz w:val="26"/>
              </w:rPr>
            </w:pPr>
            <w:r>
              <w:rPr>
                <w:rFonts w:cs="Bembo" w:ascii="Bembo" w:hAnsi="Bembo"/>
                <w:sz w:val="26"/>
              </w:rPr>
            </w:r>
          </w:p>
          <w:p>
            <w:pPr>
              <w:pStyle w:val="BodyText"/>
              <w:numPr>
                <w:ilvl w:val="0"/>
                <w:numId w:val="23"/>
              </w:numPr>
              <w:spacing w:before="0" w:after="0"/>
              <w:jc w:val="start"/>
              <w:rPr/>
            </w:pPr>
            <w:r>
              <w:rPr/>
              <w:t xml:space="preserve">Enron (Novak) to arrange meeting with Petrobras to discuss Lenders' comments to consent and opinion </w:t>
            </w:r>
          </w:p>
        </w:tc>
      </w:tr>
      <w:tr>
        <w:trPr>
          <w:trHeight w:val="805"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10.</w:t>
              <w:tab/>
              <w:t>Accounts Agreements</w:t>
            </w:r>
          </w:p>
          <w:p>
            <w:pPr>
              <w:pStyle w:val="BodyText"/>
              <w:spacing w:before="0" w:after="0"/>
              <w:rPr/>
            </w:pPr>
            <w:r>
              <w:rPr/>
            </w:r>
          </w:p>
          <w:p>
            <w:pPr>
              <w:pStyle w:val="BodyText"/>
              <w:numPr>
                <w:ilvl w:val="0"/>
                <w:numId w:val="22"/>
              </w:numPr>
              <w:spacing w:before="0" w:after="0"/>
              <w:rPr/>
            </w:pPr>
            <w:r>
              <w:rPr/>
              <w:t>Disbursement Agreement</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22"/>
              </w:numPr>
              <w:spacing w:before="0" w:after="0"/>
              <w:rPr/>
            </w:pPr>
            <w:r>
              <w:rPr/>
              <w:t>Cayco Accounts Agreement, TBS Shareholders Account Agreement</w:t>
            </w:r>
          </w:p>
          <w:p>
            <w:pPr>
              <w:pStyle w:val="BodyText"/>
              <w:spacing w:before="0" w:after="0"/>
              <w:rPr/>
            </w:pPr>
            <w:r>
              <w:rPr/>
            </w:r>
          </w:p>
          <w:p>
            <w:pPr>
              <w:pStyle w:val="BodyText"/>
              <w:spacing w:before="0" w:after="0"/>
              <w:rPr/>
            </w:pPr>
            <w:r>
              <w:rPr/>
            </w:r>
          </w:p>
          <w:p>
            <w:pPr>
              <w:pStyle w:val="BodyText"/>
              <w:numPr>
                <w:ilvl w:val="0"/>
                <w:numId w:val="22"/>
              </w:numPr>
              <w:spacing w:before="0" w:after="0"/>
              <w:rPr/>
            </w:pPr>
            <w:r>
              <w:rPr/>
              <w:t>Interborrower Agreement</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31"/>
              </w:numPr>
              <w:spacing w:before="0" w:after="0"/>
              <w:jc w:val="start"/>
              <w:rPr/>
            </w:pPr>
            <w:r>
              <w:rPr/>
              <w:t xml:space="preserve">Sponsors and counsel to provide comments to FF draft of 4/3 </w:t>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31"/>
              </w:numPr>
              <w:spacing w:before="0" w:after="0"/>
              <w:rPr/>
            </w:pPr>
            <w:r>
              <w:rPr/>
              <w:t xml:space="preserve">FF (Raciti) to distribute </w:t>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31"/>
              </w:numPr>
              <w:spacing w:before="0" w:after="0"/>
              <w:jc w:val="start"/>
              <w:rPr/>
            </w:pPr>
            <w:r>
              <w:rPr/>
              <w:t xml:space="preserve">Sponsors to discuss comments of Lenders </w:t>
            </w:r>
          </w:p>
          <w:p>
            <w:pPr>
              <w:pStyle w:val="BodyText"/>
              <w:spacing w:before="0" w:after="0"/>
              <w:rPr/>
            </w:pPr>
            <w:r>
              <w:rPr/>
            </w:r>
          </w:p>
        </w:tc>
      </w:tr>
      <w:tr>
        <w:trPr>
          <w:trHeight w:val="876"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11.</w:t>
              <w:tab/>
              <w:t>Equity Contribution Agreement</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t>Three open points:</w:t>
            </w:r>
          </w:p>
          <w:p>
            <w:pPr>
              <w:pStyle w:val="Normal"/>
              <w:spacing w:before="0" w:after="0"/>
              <w:rPr>
                <w:rFonts w:ascii="Bembo" w:hAnsi="Bembo" w:cs="Bembo"/>
                <w:sz w:val="26"/>
              </w:rPr>
            </w:pPr>
            <w:r>
              <w:rPr>
                <w:rFonts w:cs="Bembo" w:ascii="Bembo" w:hAnsi="Bembo"/>
                <w:sz w:val="26"/>
              </w:rPr>
            </w:r>
          </w:p>
          <w:p>
            <w:pPr>
              <w:pStyle w:val="BodyText"/>
              <w:numPr>
                <w:ilvl w:val="0"/>
                <w:numId w:val="15"/>
              </w:numPr>
              <w:spacing w:before="0" w:after="0"/>
              <w:jc w:val="start"/>
              <w:rPr/>
            </w:pPr>
            <w:r>
              <w:rPr/>
              <w:t>Excess Contribution Amount – Enron (Lammers) will propose amount in light of anticipated delays</w:t>
            </w:r>
          </w:p>
          <w:p>
            <w:pPr>
              <w:pStyle w:val="Normal"/>
              <w:spacing w:before="0" w:after="0"/>
              <w:rPr>
                <w:rFonts w:ascii="Bembo" w:hAnsi="Bembo" w:cs="Bembo"/>
                <w:sz w:val="26"/>
              </w:rPr>
            </w:pPr>
            <w:r>
              <w:rPr>
                <w:rFonts w:cs="Bembo" w:ascii="Bembo" w:hAnsi="Bembo"/>
                <w:sz w:val="26"/>
              </w:rPr>
            </w:r>
          </w:p>
          <w:p>
            <w:pPr>
              <w:pStyle w:val="BodyText"/>
              <w:numPr>
                <w:ilvl w:val="0"/>
                <w:numId w:val="15"/>
              </w:numPr>
              <w:spacing w:before="0" w:after="0"/>
              <w:jc w:val="start"/>
              <w:rPr/>
            </w:pPr>
            <w:r>
              <w:rPr/>
              <w:t>Dispute resolution – OPIC (Mahaffey) and FF (O'Brien) to discuss</w:t>
            </w:r>
          </w:p>
          <w:p>
            <w:pPr>
              <w:pStyle w:val="BodyText"/>
              <w:spacing w:before="0" w:after="0"/>
              <w:jc w:val="start"/>
              <w:rPr/>
            </w:pPr>
            <w:r>
              <w:rPr/>
            </w:r>
          </w:p>
          <w:p>
            <w:pPr>
              <w:pStyle w:val="BodyText"/>
              <w:numPr>
                <w:ilvl w:val="0"/>
                <w:numId w:val="15"/>
              </w:numPr>
              <w:spacing w:before="0" w:after="0"/>
              <w:jc w:val="start"/>
              <w:rPr/>
            </w:pPr>
            <w:r>
              <w:rPr/>
              <w:t xml:space="preserve">Indemnity language – Enron and OPIC to discuss at business level  </w:t>
            </w:r>
          </w:p>
          <w:p>
            <w:pPr>
              <w:pStyle w:val="Normal"/>
              <w:spacing w:before="0" w:after="0"/>
              <w:rPr>
                <w:rFonts w:ascii="Bembo" w:hAnsi="Bembo" w:cs="Bembo"/>
                <w:sz w:val="26"/>
              </w:rPr>
            </w:pPr>
            <w:r>
              <w:rPr>
                <w:rFonts w:cs="Bembo" w:ascii="Bembo" w:hAnsi="Bembo"/>
                <w:sz w:val="26"/>
              </w:rPr>
            </w:r>
          </w:p>
        </w:tc>
      </w:tr>
      <w:tr>
        <w:trPr>
          <w:trHeight w:val="922"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ind w:hanging="732" w:start="732" w:end="0"/>
              <w:rPr/>
            </w:pPr>
            <w:r>
              <w:rPr/>
              <w:t>12.</w:t>
              <w:tab/>
              <w:t>Amendment to OPIC Loan Agreement; Amendment to KfW Loan Agreement</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Sealing"/>
              <w:keepLines w:val="false"/>
              <w:tabs>
                <w:tab w:val="clear" w:pos="1728"/>
                <w:tab w:val="clear" w:pos="4320"/>
              </w:tabs>
              <w:spacing w:before="0" w:after="0"/>
              <w:rPr/>
            </w:pPr>
            <w:r>
              <w:rPr/>
              <w:t>V&amp;E (Barquin) to coordinate comments from Sponsors to Amendment to OPIC Loan Agreement; C&amp;P (Unna) to prepare draft of Amendment to KfW Loan Agreement</w:t>
            </w:r>
          </w:p>
          <w:p>
            <w:pPr>
              <w:pStyle w:val="Normal"/>
              <w:spacing w:before="0" w:after="0"/>
              <w:rPr>
                <w:rFonts w:ascii="Bembo" w:hAnsi="Bembo" w:cs="Bembo"/>
                <w:sz w:val="26"/>
              </w:rPr>
            </w:pPr>
            <w:r>
              <w:rPr>
                <w:rFonts w:cs="Bembo" w:ascii="Bembo" w:hAnsi="Bembo"/>
                <w:sz w:val="26"/>
              </w:rPr>
            </w:r>
          </w:p>
        </w:tc>
      </w:tr>
      <w:tr>
        <w:trPr>
          <w:trHeight w:val="81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13.</w:t>
              <w:tab/>
              <w:t>Comments to Legal Opinions</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Sealing"/>
              <w:keepLines w:val="false"/>
              <w:tabs>
                <w:tab w:val="clear" w:pos="1728"/>
                <w:tab w:val="clear" w:pos="4320"/>
              </w:tabs>
              <w:spacing w:before="0" w:after="0"/>
              <w:rPr/>
            </w:pPr>
            <w:r>
              <w:rPr/>
              <w:t>Local counsel to provide comments to forms of legal opinions</w:t>
            </w:r>
          </w:p>
          <w:p>
            <w:pPr>
              <w:pStyle w:val="Normal"/>
              <w:spacing w:before="0" w:after="0"/>
              <w:rPr>
                <w:rFonts w:ascii="Bembo" w:hAnsi="Bembo" w:cs="Bembo"/>
                <w:sz w:val="26"/>
              </w:rPr>
            </w:pPr>
            <w:r>
              <w:rPr>
                <w:rFonts w:cs="Bembo" w:ascii="Bembo" w:hAnsi="Bembo"/>
                <w:sz w:val="26"/>
              </w:rPr>
            </w:r>
          </w:p>
        </w:tc>
      </w:tr>
      <w:tr>
        <w:trPr>
          <w:trHeight w:val="797"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14.</w:t>
              <w:tab/>
              <w:t>Schedules to Financing Documents</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jc w:val="start"/>
              <w:rPr>
                <w:rFonts w:ascii="Bembo" w:hAnsi="Bembo" w:cs="Bembo"/>
                <w:color w:val="000000"/>
                <w:sz w:val="26"/>
              </w:rPr>
            </w:pPr>
            <w:r>
              <w:rPr>
                <w:rFonts w:cs="Bembo" w:ascii="Bembo" w:hAnsi="Bembo"/>
                <w:color w:val="000000"/>
                <w:sz w:val="26"/>
              </w:rPr>
              <w:t xml:space="preserve">Enron (Rankin) to provide update after revised model distributed FF (Elorza) </w:t>
            </w:r>
          </w:p>
          <w:p>
            <w:pPr>
              <w:pStyle w:val="Normal"/>
              <w:spacing w:before="0" w:after="0"/>
              <w:rPr>
                <w:rFonts w:ascii="Bembo" w:hAnsi="Bembo" w:cs="Bembo"/>
                <w:color w:val="000000"/>
                <w:sz w:val="26"/>
              </w:rPr>
            </w:pPr>
            <w:r>
              <w:rPr>
                <w:rFonts w:cs="Bembo" w:ascii="Bembo" w:hAnsi="Bembo"/>
                <w:color w:val="000000"/>
                <w:sz w:val="26"/>
              </w:rPr>
            </w:r>
          </w:p>
        </w:tc>
      </w:tr>
      <w:tr>
        <w:trPr>
          <w:trHeight w:val="805"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15.</w:t>
              <w:tab/>
              <w:t>FOGA</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Sealing"/>
              <w:keepLines w:val="false"/>
              <w:tabs>
                <w:tab w:val="clear" w:pos="1728"/>
                <w:tab w:val="clear" w:pos="4320"/>
              </w:tabs>
              <w:spacing w:before="0" w:after="0"/>
              <w:rPr/>
            </w:pPr>
            <w:r>
              <w:rPr/>
              <w:t>FF (O'Brien) to distribute revised draft incorporating V&amp;E comments; [Enron (Friedlander) and V&amp;E (Rankin) to discuss Citibank comments of 4/6]</w:t>
            </w:r>
          </w:p>
          <w:p>
            <w:pPr>
              <w:pStyle w:val="Normal"/>
              <w:spacing w:before="0" w:after="0"/>
              <w:rPr>
                <w:rFonts w:ascii="Bembo" w:hAnsi="Bembo" w:cs="Bembo"/>
                <w:sz w:val="26"/>
              </w:rPr>
            </w:pPr>
            <w:r>
              <w:rPr>
                <w:rFonts w:cs="Bembo" w:ascii="Bembo" w:hAnsi="Bembo"/>
                <w:sz w:val="26"/>
              </w:rPr>
            </w:r>
          </w:p>
        </w:tc>
      </w:tr>
      <w:tr>
        <w:trPr>
          <w:trHeight w:val="805"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pPr>
            <w:r>
              <w:rPr/>
              <w:t>16.</w:t>
              <w:tab/>
              <w:t>Insurance</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TOC5"/>
              <w:tabs>
                <w:tab w:val="clear" w:pos="8309"/>
              </w:tabs>
              <w:spacing w:before="0" w:after="0"/>
              <w:rPr>
                <w:caps w:val="false"/>
                <w:smallCaps w:val="false"/>
              </w:rPr>
            </w:pPr>
            <w:r>
              <w:rPr>
                <w:caps w:val="false"/>
                <w:smallCaps w:val="false"/>
              </w:rPr>
              <w:t>Enron to advise how much coverage for insurance will cost as it expires in April 2001</w:t>
            </w:r>
          </w:p>
          <w:p>
            <w:pPr>
              <w:pStyle w:val="TOC5"/>
              <w:tabs>
                <w:tab w:val="clear" w:pos="8309"/>
              </w:tabs>
              <w:spacing w:before="0" w:after="0"/>
              <w:rPr>
                <w:caps w:val="false"/>
                <w:smallCaps w:val="false"/>
              </w:rPr>
            </w:pPr>
            <w:r>
              <w:rPr>
                <w:caps w:val="false"/>
                <w:smallCaps w:val="false"/>
              </w:rPr>
            </w:r>
          </w:p>
        </w:tc>
      </w:tr>
      <w:tr>
        <w:trPr>
          <w:trHeight w:val="805"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caps w:val="false"/>
                <w:smallCaps w:val="false"/>
                <w:sz w:val="26"/>
              </w:rPr>
            </w:pPr>
            <w:r>
              <w:rPr>
                <w:rFonts w:cs="Bembo"/>
                <w:caps w:val="false"/>
                <w:smallCaps w:val="false"/>
                <w:sz w:val="26"/>
              </w:rPr>
            </w:r>
          </w:p>
          <w:p>
            <w:pPr>
              <w:pStyle w:val="BodyText"/>
              <w:spacing w:before="0" w:after="0"/>
              <w:rPr/>
            </w:pPr>
            <w:r>
              <w:rPr/>
              <w:t>17.</w:t>
              <w:tab/>
              <w:t>U.S. Security Documents</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t>Two points:</w:t>
            </w:r>
          </w:p>
          <w:p>
            <w:pPr>
              <w:pStyle w:val="Normal"/>
              <w:spacing w:before="0" w:after="0"/>
              <w:rPr>
                <w:rFonts w:ascii="Bembo" w:hAnsi="Bembo" w:cs="Bembo"/>
                <w:sz w:val="26"/>
              </w:rPr>
            </w:pPr>
            <w:r>
              <w:rPr>
                <w:rFonts w:cs="Bembo" w:ascii="Bembo" w:hAnsi="Bembo"/>
                <w:sz w:val="26"/>
              </w:rPr>
            </w:r>
          </w:p>
          <w:p>
            <w:pPr>
              <w:pStyle w:val="BodyText"/>
              <w:numPr>
                <w:ilvl w:val="0"/>
                <w:numId w:val="33"/>
              </w:numPr>
              <w:spacing w:before="0" w:after="0"/>
              <w:jc w:val="start"/>
              <w:rPr/>
            </w:pPr>
            <w:r>
              <w:rPr/>
              <w:t xml:space="preserve">Sponsors and their counsel to provide comments to 3/3 drafts distributed by C&amp;P </w:t>
            </w:r>
          </w:p>
          <w:p>
            <w:pPr>
              <w:pStyle w:val="Normal"/>
              <w:spacing w:before="0" w:after="0"/>
              <w:rPr>
                <w:rFonts w:ascii="Bembo" w:hAnsi="Bembo" w:cs="Bembo"/>
                <w:sz w:val="26"/>
              </w:rPr>
            </w:pPr>
            <w:r>
              <w:rPr>
                <w:rFonts w:cs="Bembo" w:ascii="Bembo" w:hAnsi="Bembo"/>
                <w:sz w:val="26"/>
              </w:rPr>
            </w:r>
          </w:p>
          <w:p>
            <w:pPr>
              <w:pStyle w:val="BodyText"/>
              <w:numPr>
                <w:ilvl w:val="0"/>
                <w:numId w:val="33"/>
              </w:numPr>
              <w:spacing w:before="0" w:after="0"/>
              <w:jc w:val="start"/>
              <w:rPr/>
            </w:pPr>
            <w:r>
              <w:rPr/>
              <w:t>C&amp;P (Unna) to distribute remaining U.S. Security Documents</w:t>
            </w:r>
          </w:p>
          <w:p>
            <w:pPr>
              <w:pStyle w:val="BodyText"/>
              <w:spacing w:before="0" w:after="0"/>
              <w:rPr/>
            </w:pPr>
            <w:r>
              <w:rPr/>
            </w:r>
          </w:p>
        </w:tc>
      </w:tr>
    </w:tbl>
    <w:p>
      <w:pPr>
        <w:pStyle w:val="Normal"/>
        <w:spacing w:before="0" w:after="0"/>
        <w:jc w:val="start"/>
        <w:rPr>
          <w:rFonts w:ascii="Bembo" w:hAnsi="Bembo" w:cs="Bembo"/>
          <w:sz w:val="26"/>
        </w:rPr>
      </w:pPr>
      <w:r>
        <w:rPr>
          <w:rFonts w:cs="Bembo" w:ascii="Bembo" w:hAnsi="Bembo"/>
          <w:sz w:val="26"/>
        </w:rPr>
      </w:r>
    </w:p>
    <w:p>
      <w:pPr>
        <w:pStyle w:val="Normal"/>
        <w:spacing w:before="0" w:after="0"/>
        <w:jc w:val="start"/>
        <w:rPr>
          <w:rFonts w:ascii="Bembo" w:hAnsi="Bembo" w:cs="Bembo"/>
          <w:sz w:val="26"/>
        </w:rPr>
      </w:pPr>
      <w:r>
        <w:rPr>
          <w:rFonts w:cs="Bembo" w:ascii="Bembo" w:hAnsi="Bembo"/>
          <w:sz w:val="26"/>
        </w:rPr>
      </w:r>
      <w:r>
        <w:br w:type="page"/>
      </w:r>
    </w:p>
    <w:p>
      <w:pPr>
        <w:pStyle w:val="BodyText"/>
        <w:spacing w:before="0" w:after="0"/>
        <w:rPr>
          <w:b/>
          <w:bCs/>
          <w:u w:val="single"/>
        </w:rPr>
      </w:pPr>
      <w:r>
        <w:rPr>
          <w:b/>
          <w:bCs/>
          <w:u w:val="single"/>
        </w:rPr>
        <w:t>Ancillary List to the Critical Path Items to Financial Closing</w:t>
      </w:r>
    </w:p>
    <w:p>
      <w:pPr>
        <w:pStyle w:val="BodyText"/>
        <w:spacing w:before="0" w:after="0"/>
        <w:rPr>
          <w:b/>
          <w:bCs/>
        </w:rPr>
      </w:pPr>
      <w:r>
        <w:rPr>
          <w:b/>
          <w:bCs/>
        </w:rPr>
        <w:t>(See Closing List for key to acronyms)</w:t>
      </w:r>
    </w:p>
    <w:p>
      <w:pPr>
        <w:pStyle w:val="BodyText"/>
        <w:spacing w:before="0" w:after="0"/>
        <w:rPr>
          <w:b/>
          <w:bCs/>
          <w:u w:val="single"/>
        </w:rPr>
      </w:pPr>
      <w:r>
        <w:rPr>
          <w:b/>
          <w:bCs/>
          <w:u w:val="single"/>
        </w:rPr>
      </w:r>
    </w:p>
    <w:p>
      <w:pPr>
        <w:pStyle w:val="BodyText"/>
        <w:spacing w:before="0" w:after="0"/>
        <w:rPr>
          <w:b/>
          <w:bCs/>
          <w:u w:val="single"/>
        </w:rPr>
      </w:pPr>
      <w:r>
        <w:rPr>
          <w:b/>
          <w:bCs/>
          <w:u w:val="single"/>
        </w:rPr>
      </w:r>
    </w:p>
    <w:p>
      <w:pPr>
        <w:pStyle w:val="BodyText"/>
        <w:spacing w:before="0" w:after="0"/>
        <w:rPr>
          <w:b/>
          <w:bCs/>
          <w:u w:val="single"/>
        </w:rPr>
      </w:pPr>
      <w:r>
        <w:rPr>
          <w:b/>
          <w:bCs/>
          <w:u w:val="single"/>
        </w:rPr>
      </w:r>
    </w:p>
    <w:tbl>
      <w:tblPr>
        <w:tblW w:w="9000" w:type="dxa"/>
        <w:jc w:val="start"/>
        <w:tblInd w:w="108" w:type="dxa"/>
        <w:tblLayout w:type="fixed"/>
        <w:tblCellMar>
          <w:top w:w="0" w:type="dxa"/>
          <w:start w:w="108" w:type="dxa"/>
          <w:bottom w:w="0" w:type="dxa"/>
          <w:end w:w="108" w:type="dxa"/>
        </w:tblCellMar>
      </w:tblPr>
      <w:tblGrid>
        <w:gridCol w:w="5040"/>
        <w:gridCol w:w="3960"/>
      </w:tblGrid>
      <w:tr>
        <w:trPr>
          <w:trHeight w:val="63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pacing w:before="0" w:after="0"/>
              <w:rPr>
                <w:u w:val="single"/>
              </w:rPr>
            </w:pPr>
            <w:r>
              <w:rPr>
                <w:u w:val="single"/>
              </w:rPr>
              <w:t>Issue</w:t>
            </w:r>
            <w:r>
              <w:rPr/>
              <w:tab/>
              <w:tab/>
              <w:tab/>
              <w:tab/>
              <w:tab/>
              <w:tab/>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Bembo" w:hAnsi="Bembo" w:cs="Bembo"/>
                <w:sz w:val="26"/>
                <w:u w:val="single"/>
              </w:rPr>
            </w:pPr>
            <w:r>
              <w:rPr>
                <w:rFonts w:cs="Bembo" w:ascii="Bembo" w:hAnsi="Bembo"/>
                <w:sz w:val="26"/>
                <w:u w:val="single"/>
              </w:rPr>
              <w:t>Responsibility</w:t>
            </w:r>
          </w:p>
        </w:tc>
      </w:tr>
      <w:tr>
        <w:trPr>
          <w:trHeight w:val="180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u w:val="single"/>
              </w:rPr>
            </w:pPr>
            <w:r>
              <w:rPr>
                <w:rFonts w:cs="Bembo"/>
                <w:sz w:val="26"/>
                <w:u w:val="single"/>
              </w:rPr>
            </w:r>
          </w:p>
          <w:p>
            <w:pPr>
              <w:pStyle w:val="BodyText"/>
              <w:spacing w:before="0" w:after="0"/>
              <w:rPr/>
            </w:pPr>
            <w:r>
              <w:rPr/>
              <w:t>1.</w:t>
              <w:tab/>
              <w:t>YPF/Gas Supply</w:t>
            </w:r>
          </w:p>
          <w:p>
            <w:pPr>
              <w:pStyle w:val="BodyText"/>
              <w:spacing w:before="0" w:after="0"/>
              <w:rPr/>
            </w:pPr>
            <w:r>
              <w:rPr/>
            </w:r>
          </w:p>
          <w:p>
            <w:pPr>
              <w:pStyle w:val="BodyText"/>
              <w:numPr>
                <w:ilvl w:val="0"/>
                <w:numId w:val="27"/>
              </w:numPr>
              <w:tabs>
                <w:tab w:val="clear" w:pos="720"/>
              </w:tabs>
              <w:spacing w:before="0" w:after="0"/>
              <w:ind w:hanging="720" w:start="720" w:end="0"/>
              <w:rPr/>
            </w:pPr>
            <w:r>
              <w:rPr/>
              <w:t>YPF Consent</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t>(B)</w:t>
              <w:tab/>
              <w:t>Andina due diligence</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t>(C)</w:t>
              <w:tab/>
              <w:t xml:space="preserve">Amendment to YPF Gas Supply </w:t>
              <w:tab/>
              <w:t xml:space="preserve">Agreement </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Normal"/>
              <w:spacing w:before="0" w:after="0"/>
              <w:rPr>
                <w:rFonts w:ascii="Bembo" w:hAnsi="Bembo" w:cs="Bembo"/>
                <w:sz w:val="26"/>
              </w:rPr>
            </w:pPr>
            <w:r>
              <w:rPr>
                <w:rFonts w:cs="Bembo" w:ascii="Bembo" w:hAnsi="Bembo"/>
                <w:sz w:val="26"/>
              </w:rPr>
            </w:r>
          </w:p>
          <w:p>
            <w:pPr>
              <w:pStyle w:val="BodyText"/>
              <w:numPr>
                <w:ilvl w:val="0"/>
                <w:numId w:val="8"/>
              </w:numPr>
              <w:spacing w:before="0" w:after="0"/>
              <w:jc w:val="start"/>
              <w:rPr/>
            </w:pPr>
            <w:r>
              <w:rPr/>
              <w:t>Enron (Lammers) to arrange call/meeting with YPF and Lenders to discuss pending issues – week of 4/24</w:t>
            </w:r>
          </w:p>
          <w:p>
            <w:pPr>
              <w:pStyle w:val="BodyText"/>
              <w:spacing w:before="0" w:after="0"/>
              <w:rPr/>
            </w:pPr>
            <w:r>
              <w:rPr/>
            </w:r>
          </w:p>
          <w:p>
            <w:pPr>
              <w:pStyle w:val="BodyText"/>
              <w:numPr>
                <w:ilvl w:val="0"/>
                <w:numId w:val="8"/>
              </w:numPr>
              <w:spacing w:before="0" w:after="0"/>
              <w:jc w:val="start"/>
              <w:rPr/>
            </w:pPr>
            <w:r>
              <w:rPr/>
              <w:t>OPIC (Mervenne) and FF (Raciti) to confirm that Andina consent has covenants re dedication of reserves; Enron (Lammers) to follow up with Andina re missing information for due diligence</w:t>
            </w:r>
          </w:p>
          <w:p>
            <w:pPr>
              <w:pStyle w:val="Normal"/>
              <w:spacing w:before="0" w:after="0"/>
              <w:rPr>
                <w:rFonts w:ascii="Bembo" w:hAnsi="Bembo" w:cs="Bembo"/>
                <w:sz w:val="26"/>
              </w:rPr>
            </w:pPr>
            <w:r>
              <w:rPr>
                <w:rFonts w:cs="Bembo" w:ascii="Bembo" w:hAnsi="Bembo"/>
                <w:sz w:val="26"/>
              </w:rPr>
            </w:r>
          </w:p>
          <w:p>
            <w:pPr>
              <w:pStyle w:val="BodyText"/>
              <w:numPr>
                <w:ilvl w:val="0"/>
                <w:numId w:val="8"/>
              </w:numPr>
              <w:spacing w:before="0" w:after="0"/>
              <w:jc w:val="start"/>
              <w:rPr/>
            </w:pPr>
            <w:r>
              <w:rPr/>
              <w:t>Enron (Lammers) to find out if YPF willing to sign now if not already signed</w:t>
            </w:r>
          </w:p>
          <w:p>
            <w:pPr>
              <w:pStyle w:val="BodyText"/>
              <w:spacing w:before="0" w:after="0"/>
              <w:rPr/>
            </w:pPr>
            <w:r>
              <w:rPr/>
            </w:r>
          </w:p>
        </w:tc>
      </w:tr>
      <w:tr>
        <w:trPr>
          <w:trHeight w:val="1131"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rFonts w:ascii="Bembo" w:hAnsi="Bembo" w:cs="Bembo"/>
                <w:sz w:val="26"/>
              </w:rPr>
            </w:pPr>
            <w:r>
              <w:rPr>
                <w:rFonts w:cs="Bembo"/>
                <w:sz w:val="26"/>
              </w:rPr>
            </w:r>
          </w:p>
          <w:p>
            <w:pPr>
              <w:pStyle w:val="BodyText"/>
              <w:spacing w:before="0" w:after="0"/>
              <w:rPr>
                <w:lang w:val="pt-BR"/>
              </w:rPr>
            </w:pPr>
            <w:r>
              <w:rPr>
                <w:lang w:val="pt-BR"/>
              </w:rPr>
              <w:t>2.</w:t>
              <w:tab/>
              <w:t>PPA</w:t>
            </w:r>
          </w:p>
          <w:p>
            <w:pPr>
              <w:pStyle w:val="BodyText"/>
              <w:spacing w:before="0" w:after="0"/>
              <w:rPr>
                <w:lang w:val="pt-BR"/>
              </w:rPr>
            </w:pPr>
            <w:r>
              <w:rPr>
                <w:lang w:val="pt-BR"/>
              </w:rPr>
            </w:r>
          </w:p>
          <w:p>
            <w:pPr>
              <w:pStyle w:val="BodyText"/>
              <w:spacing w:before="0" w:after="0"/>
              <w:rPr/>
            </w:pPr>
            <w:r>
              <w:rPr/>
              <w:t>(A)</w:t>
              <w:tab/>
              <w:t>Performance bond</w:t>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pPr>
            <w:r>
              <w:rPr/>
            </w:r>
          </w:p>
          <w:p>
            <w:pPr>
              <w:pStyle w:val="BodyText"/>
              <w:spacing w:before="0" w:after="0"/>
              <w:rPr/>
            </w:pPr>
            <w:r>
              <w:rPr/>
            </w:r>
          </w:p>
          <w:p>
            <w:pPr>
              <w:pStyle w:val="BodyText"/>
              <w:spacing w:before="0" w:after="0"/>
              <w:rPr/>
            </w:pPr>
            <w:r>
              <w:rPr/>
            </w:r>
          </w:p>
          <w:p>
            <w:pPr>
              <w:pStyle w:val="BodyText"/>
              <w:numPr>
                <w:ilvl w:val="0"/>
                <w:numId w:val="12"/>
              </w:numPr>
              <w:spacing w:before="0" w:after="0"/>
              <w:jc w:val="start"/>
              <w:rPr/>
            </w:pPr>
            <w:r>
              <w:rPr/>
              <w:t>Enron (Lammers) has advised that performance bond needs to be amended only if increase diesel operation to 300 MW</w:t>
            </w:r>
          </w:p>
          <w:p>
            <w:pPr>
              <w:pStyle w:val="BodyText"/>
              <w:spacing w:before="0" w:after="0"/>
              <w:rPr/>
            </w:pPr>
            <w:r>
              <w:rPr/>
            </w:r>
          </w:p>
        </w:tc>
      </w:tr>
      <w:tr>
        <w:trPr>
          <w:trHeight w:val="1800" w:hRule="atLeast"/>
        </w:trPr>
        <w:tc>
          <w:tcPr>
            <w:tcW w:w="504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pPr>
            <w:r>
              <w:rPr/>
            </w:r>
          </w:p>
          <w:p>
            <w:pPr>
              <w:pStyle w:val="BodyText"/>
              <w:numPr>
                <w:ilvl w:val="0"/>
                <w:numId w:val="33"/>
              </w:numPr>
              <w:spacing w:before="0" w:after="0"/>
              <w:rPr/>
            </w:pPr>
            <w:r>
              <w:rPr/>
              <w:t>Liquid Fuel Supply</w:t>
            </w:r>
          </w:p>
          <w:p>
            <w:pPr>
              <w:pStyle w:val="BodyText"/>
              <w:spacing w:before="0" w:after="0"/>
              <w:rPr/>
            </w:pPr>
            <w:r>
              <w:rPr/>
            </w:r>
          </w:p>
          <w:p>
            <w:pPr>
              <w:pStyle w:val="BodyText"/>
              <w:numPr>
                <w:ilvl w:val="0"/>
                <w:numId w:val="11"/>
              </w:numPr>
              <w:spacing w:before="0" w:after="0"/>
              <w:rPr/>
            </w:pPr>
            <w:r>
              <w:rPr/>
              <w:t xml:space="preserve">Environmental issues </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11"/>
              </w:numPr>
              <w:spacing w:before="0" w:after="0"/>
              <w:rPr/>
            </w:pPr>
            <w:r>
              <w:rPr/>
              <w:t>Governmental Approvals required in connection with possible increase in diesel usage</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BodyText"/>
              <w:numPr>
                <w:ilvl w:val="0"/>
                <w:numId w:val="11"/>
              </w:numPr>
              <w:spacing w:before="0" w:after="0"/>
              <w:rPr/>
            </w:pPr>
            <w:r>
              <w:rPr/>
              <w:t>Status of need for amendment</w:t>
            </w:r>
          </w:p>
          <w:p>
            <w:pPr>
              <w:pStyle w:val="BodyText"/>
              <w:spacing w:before="0" w:after="0"/>
              <w:rPr/>
            </w:pPr>
            <w:r>
              <w:rPr/>
            </w:r>
          </w:p>
          <w:p>
            <w:pPr>
              <w:pStyle w:val="BodyText"/>
              <w:spacing w:before="0" w:after="0"/>
              <w:rPr/>
            </w:pPr>
            <w:r>
              <w:rPr/>
            </w:r>
          </w:p>
        </w:tc>
        <w:tc>
          <w:tcPr>
            <w:tcW w:w="396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rPr/>
            </w:pPr>
            <w:r>
              <w:rPr/>
            </w:r>
          </w:p>
          <w:p>
            <w:pPr>
              <w:pStyle w:val="BodyText"/>
              <w:spacing w:before="0" w:after="0"/>
              <w:rPr/>
            </w:pPr>
            <w:r>
              <w:rPr/>
            </w:r>
          </w:p>
          <w:p>
            <w:pPr>
              <w:pStyle w:val="BodyText"/>
              <w:spacing w:before="0" w:after="0"/>
              <w:rPr/>
            </w:pPr>
            <w:r>
              <w:rPr/>
            </w:r>
          </w:p>
          <w:p>
            <w:pPr>
              <w:pStyle w:val="BodyText"/>
              <w:numPr>
                <w:ilvl w:val="0"/>
                <w:numId w:val="28"/>
              </w:numPr>
              <w:spacing w:before="0" w:after="0"/>
              <w:rPr/>
            </w:pPr>
            <w:r>
              <w:rPr/>
              <w:t>OPIC (Mervenne) to follow up with Moss re compliance with World Bank Guidelines and OPIC Handbook in connection with proposed increase in diesel fuel consumption</w:t>
            </w:r>
          </w:p>
          <w:p>
            <w:pPr>
              <w:pStyle w:val="BodyText"/>
              <w:spacing w:before="0" w:after="0"/>
              <w:rPr/>
            </w:pPr>
            <w:r>
              <w:rPr/>
            </w:r>
          </w:p>
          <w:p>
            <w:pPr>
              <w:pStyle w:val="BodyText"/>
              <w:numPr>
                <w:ilvl w:val="0"/>
                <w:numId w:val="28"/>
              </w:numPr>
              <w:spacing w:before="0" w:after="0"/>
              <w:rPr/>
            </w:pPr>
            <w:r>
              <w:rPr/>
              <w:t>TFTS and TRW to advise Lenders re additional permits required for 300 MW on diesel; Enron to advise re status of obtaining same [NB.  This will be moved to critical path items list depending on outcome of force majeure claims submitted to Furnas.]</w:t>
            </w:r>
          </w:p>
          <w:p>
            <w:pPr>
              <w:pStyle w:val="BodyText"/>
              <w:spacing w:before="0" w:after="0"/>
              <w:rPr/>
            </w:pPr>
            <w:r>
              <w:rPr/>
            </w:r>
          </w:p>
          <w:p>
            <w:pPr>
              <w:pStyle w:val="BodyText"/>
              <w:numPr>
                <w:ilvl w:val="0"/>
                <w:numId w:val="28"/>
              </w:numPr>
              <w:spacing w:before="0" w:after="0"/>
              <w:rPr/>
            </w:pPr>
            <w:r>
              <w:rPr/>
              <w:t>Enron (Lammers) confirmed that none needed for extended diesel usage</w:t>
            </w:r>
          </w:p>
          <w:p>
            <w:pPr>
              <w:pStyle w:val="BodyText"/>
              <w:spacing w:before="0" w:after="0"/>
              <w:rPr/>
            </w:pPr>
            <w:r>
              <w:rPr/>
            </w:r>
          </w:p>
        </w:tc>
      </w:tr>
    </w:tbl>
    <w:p>
      <w:pPr>
        <w:pStyle w:val="BodyText"/>
        <w:rPr/>
      </w:pPr>
      <w:r>
        <w:rPr/>
      </w:r>
    </w:p>
    <w:p>
      <w:pPr>
        <w:pStyle w:val="Normal"/>
        <w:spacing w:before="0" w:after="24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NY003675655.DOC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8+</w:t>
    </w:r>
    <w:r>
      <w:rPr>
        <w:color w:val="008000"/>
        <w:lang w:val="en-CA" w:eastAsia="en-CA"/>
      </w:rPr>
      <w:fldChar w:fldCharType="end"/>
    </w:r>
    <w:r>
      <w:rPr>
        <w:lang w:val="en-CA" w:eastAsia="en-CA"/>
      </w:rPr>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9</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NY003675655.DOC</w:t>
    </w:r>
    <w:r>
      <w:rPr>
        <w:color w:val="008000"/>
        <w:lang w:val="en-CA" w:eastAsia="en-CA"/>
      </w:rPr>
      <w:fldChar w:fldCharType="end"/>
    </w:r>
    <w:r>
      <w:rPr>
        <w:lang w:val="en-CA" w:eastAsia="en-CA"/>
      </w:rPr>
      <w:t>/</w:t>
    </w:r>
    <w:r>
      <w:rPr>
        <w:lang w:val="en-CA" w:eastAsia="en-CA"/>
      </w:rPr>
      <w:fldChar w:fldCharType="begin"/>
    </w:r>
    <w:r>
      <w:rPr>
        <w:lang w:val="en-CA" w:eastAsia="en-CA"/>
      </w:rPr>
      <w:instrText xml:space="preserve"> SUBJECT </w:instrText>
    </w:r>
    <w:r>
      <w:rPr>
        <w:lang w:val="en-CA" w:eastAsia="en-CA"/>
      </w:rPr>
      <w:fldChar w:fldCharType="separate"/>
    </w:r>
    <w:r>
      <w:rPr>
        <w:lang w:val="en-CA" w:eastAsia="en-CA"/>
      </w:rPr>
      <w:t>8+</w:t>
    </w:r>
    <w:r>
      <w:rPr>
        <w:lang w:val="en-CA" w:eastAsia="en-CA"/>
      </w:rPr>
      <w:fldChar w:fldCharType="end"/>
    </w:r>
    <w:r>
      <w:rPr>
        <w:lang w:val="en-CA" w:eastAsia="en-CA"/>
      </w:rPr>
      <w:tab/>
      <w:t>MR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lang w:val="en-CA" w:eastAsia="en-CA"/>
      </w:rPr>
      <w:t>Draft: [ ]April 20</w:t>
    </w:r>
    <w:r>
      <w:rPr>
        <w:color w:val="008000"/>
        <w:lang w:val="en-CA" w:eastAsia="en-CA"/>
      </w:rPr>
      <w:t>,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720"/>
        </w:tabs>
        <w:ind w:start="720" w:hanging="720"/>
      </w:pPr>
      <w:rPr/>
    </w:lvl>
  </w:abstractNum>
  <w:abstractNum w:abstractNumId="8">
    <w:lvl w:ilvl="0">
      <w:start w:val="1"/>
      <w:numFmt w:val="upperLetter"/>
      <w:lvlText w:val="(%1)"/>
      <w:lvlJc w:val="start"/>
      <w:pPr>
        <w:tabs>
          <w:tab w:val="num" w:pos="720"/>
        </w:tabs>
        <w:ind w:start="720" w:hanging="720"/>
      </w:pPr>
      <w:rPr/>
    </w:lvl>
  </w:abstractNum>
  <w:abstractNum w:abstractNumId="9">
    <w:lvl w:ilvl="0">
      <w:start w:val="1"/>
      <w:numFmt w:val="upperLetter"/>
      <w:lvlText w:val="(%1)"/>
      <w:lvlJc w:val="start"/>
      <w:pPr>
        <w:tabs>
          <w:tab w:val="num" w:pos="720"/>
        </w:tabs>
        <w:ind w:start="720" w:hanging="72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upperLetter"/>
      <w:lvlText w:val="(%1)"/>
      <w:lvlJc w:val="start"/>
      <w:pPr>
        <w:tabs>
          <w:tab w:val="num" w:pos="720"/>
        </w:tabs>
        <w:ind w:start="720" w:hanging="720"/>
      </w:pPr>
      <w:rPr/>
    </w:lvl>
  </w:abstractNum>
  <w:abstractNum w:abstractNumId="12">
    <w:lvl w:ilvl="0">
      <w:start w:val="1"/>
      <w:numFmt w:val="upperLetter"/>
      <w:lvlText w:val="(%1)"/>
      <w:lvlJc w:val="start"/>
      <w:pPr>
        <w:tabs>
          <w:tab w:val="num" w:pos="720"/>
        </w:tabs>
        <w:ind w:start="720" w:hanging="720"/>
      </w:pPr>
      <w:rPr/>
    </w:lvl>
  </w:abstractNum>
  <w:abstractNum w:abstractNumId="13">
    <w:lvl w:ilvl="0">
      <w:start w:val="1"/>
      <w:numFmt w:val="upperLetter"/>
      <w:lvlText w:val="(%1)"/>
      <w:lvlJc w:val="start"/>
      <w:pPr>
        <w:tabs>
          <w:tab w:val="num" w:pos="720"/>
        </w:tabs>
        <w:ind w:start="720" w:hanging="720"/>
      </w:pPr>
      <w:rPr/>
    </w:lvl>
  </w:abstractNum>
  <w:abstractNum w:abstractNumId="14">
    <w:lvl w:ilvl="0">
      <w:start w:val="1"/>
      <w:numFmt w:val="upperLetter"/>
      <w:lvlText w:val="(%1)"/>
      <w:lvlJc w:val="start"/>
      <w:pPr>
        <w:tabs>
          <w:tab w:val="num" w:pos="720"/>
        </w:tabs>
        <w:ind w:start="720" w:hanging="72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upperLetter"/>
      <w:lvlText w:val="(%1)"/>
      <w:lvlJc w:val="start"/>
      <w:pPr>
        <w:tabs>
          <w:tab w:val="num" w:pos="1440"/>
        </w:tabs>
        <w:ind w:start="1440" w:hanging="720"/>
      </w:pPr>
      <w:rPr/>
    </w:lvl>
  </w:abstractNum>
  <w:abstractNum w:abstractNumId="17">
    <w:lvl w:ilvl="0">
      <w:start w:val="3"/>
      <w:numFmt w:val="upperLetter"/>
      <w:lvlText w:val="(%1)"/>
      <w:lvlJc w:val="start"/>
      <w:pPr>
        <w:tabs>
          <w:tab w:val="num" w:pos="720"/>
        </w:tabs>
        <w:ind w:start="720" w:hanging="360"/>
      </w:pPr>
      <w:rPr/>
    </w:lvl>
  </w:abstractNum>
  <w:abstractNum w:abstractNumId="18">
    <w:lvl w:ilvl="0">
      <w:start w:val="1"/>
      <w:numFmt w:val="upperLetter"/>
      <w:lvlText w:val="(%1)"/>
      <w:lvlJc w:val="start"/>
      <w:pPr>
        <w:tabs>
          <w:tab w:val="num" w:pos="720"/>
        </w:tabs>
        <w:ind w:start="720" w:hanging="720"/>
      </w:pPr>
      <w:rPr/>
    </w:lvl>
  </w:abstractNum>
  <w:abstractNum w:abstractNumId="19">
    <w:lvl w:ilvl="0">
      <w:start w:val="1"/>
      <w:numFmt w:val="upperLetter"/>
      <w:lvlText w:val="(%1)"/>
      <w:lvlJc w:val="start"/>
      <w:pPr>
        <w:tabs>
          <w:tab w:val="num" w:pos="720"/>
        </w:tabs>
        <w:ind w:start="720" w:hanging="720"/>
      </w:pPr>
      <w:rPr/>
    </w:lvl>
  </w:abstractNum>
  <w:abstractNum w:abstractNumId="20">
    <w:lvl w:ilvl="0">
      <w:start w:val="1"/>
      <w:numFmt w:val="upperLetter"/>
      <w:lvlText w:val="(%1)"/>
      <w:lvlJc w:val="start"/>
      <w:pPr>
        <w:tabs>
          <w:tab w:val="num" w:pos="720"/>
        </w:tabs>
        <w:ind w:start="720" w:hanging="720"/>
      </w:pPr>
      <w:rPr/>
    </w:lvl>
  </w:abstractNum>
  <w:abstractNum w:abstractNumId="21">
    <w:lvl w:ilvl="0">
      <w:start w:val="1"/>
      <w:numFmt w:val="upperLetter"/>
      <w:lvlText w:val="(%1)"/>
      <w:lvlJc w:val="start"/>
      <w:pPr>
        <w:tabs>
          <w:tab w:val="num" w:pos="720"/>
        </w:tabs>
        <w:ind w:start="720" w:hanging="720"/>
      </w:pPr>
      <w:rPr/>
    </w:lvl>
  </w:abstractNum>
  <w:abstractNum w:abstractNumId="22">
    <w:lvl w:ilvl="0">
      <w:start w:val="1"/>
      <w:numFmt w:val="upperLetter"/>
      <w:lvlText w:val="(%1)"/>
      <w:lvlJc w:val="start"/>
      <w:pPr>
        <w:tabs>
          <w:tab w:val="num" w:pos="1440"/>
        </w:tabs>
        <w:ind w:start="1440" w:hanging="720"/>
      </w:pPr>
      <w:rPr/>
    </w:lvl>
  </w:abstractNum>
  <w:abstractNum w:abstractNumId="23">
    <w:lvl w:ilvl="0">
      <w:start w:val="1"/>
      <w:numFmt w:val="upperLetter"/>
      <w:lvlText w:val="(%1)"/>
      <w:lvlJc w:val="start"/>
      <w:pPr>
        <w:tabs>
          <w:tab w:val="num" w:pos="720"/>
        </w:tabs>
        <w:ind w:start="720" w:hanging="720"/>
      </w:pPr>
      <w:rPr/>
    </w:lvl>
  </w:abstractNum>
  <w:abstractNum w:abstractNumId="24">
    <w:lvl w:ilvl="0">
      <w:start w:val="1"/>
      <w:numFmt w:val="upperLetter"/>
      <w:lvlText w:val="(%1)"/>
      <w:lvlJc w:val="start"/>
      <w:pPr>
        <w:tabs>
          <w:tab w:val="num" w:pos="720"/>
        </w:tabs>
        <w:ind w:start="720" w:hanging="720"/>
      </w:pPr>
      <w:rPr/>
    </w:lvl>
  </w:abstractNum>
  <w:abstractNum w:abstractNumId="25">
    <w:lvl w:ilvl="0">
      <w:start w:val="1"/>
      <w:numFmt w:val="lowerRoman"/>
      <w:lvlText w:val="(%1)"/>
      <w:lvlJc w:val="end"/>
      <w:pPr>
        <w:tabs>
          <w:tab w:val="num" w:pos="1710"/>
        </w:tabs>
        <w:ind w:start="1710" w:hanging="360"/>
      </w:pPr>
      <w:rPr/>
    </w:lvl>
  </w:abstractNum>
  <w:abstractNum w:abstractNumId="26">
    <w:lvl w:ilvl="0">
      <w:start w:val="1"/>
      <w:numFmt w:val="lowerLetter"/>
      <w:lvlText w:val="(%1)"/>
      <w:lvlJc w:val="start"/>
      <w:pPr>
        <w:tabs>
          <w:tab w:val="num" w:pos="720"/>
        </w:tabs>
        <w:ind w:start="720" w:hanging="720"/>
      </w:pPr>
      <w:rPr>
        <w:sz w:val="26"/>
        <w:i w:val="false"/>
        <w:b w:val="false"/>
        <w:rFonts w:ascii="Bembo" w:hAnsi="Bembo" w:cs="Bembo"/>
      </w:rPr>
    </w:lvl>
  </w:abstractNum>
  <w:abstractNum w:abstractNumId="27">
    <w:lvl w:ilvl="0">
      <w:start w:val="1"/>
      <w:numFmt w:val="upperLetter"/>
      <w:lvlText w:val="(%1)"/>
      <w:lvlJc w:val="start"/>
      <w:pPr>
        <w:tabs>
          <w:tab w:val="num" w:pos="720"/>
        </w:tabs>
        <w:ind w:start="720" w:hanging="360"/>
      </w:pPr>
      <w:rPr/>
    </w:lvl>
  </w:abstractNum>
  <w:abstractNum w:abstractNumId="28">
    <w:lvl w:ilvl="0">
      <w:start w:val="1"/>
      <w:numFmt w:val="upperLetter"/>
      <w:lvlText w:val="(%1)"/>
      <w:lvlJc w:val="start"/>
      <w:pPr>
        <w:tabs>
          <w:tab w:val="num" w:pos="720"/>
        </w:tabs>
        <w:ind w:start="720" w:hanging="720"/>
      </w:pPr>
      <w:rPr/>
    </w:lvl>
  </w:abstractNum>
  <w:abstractNum w:abstractNumId="29">
    <w:lvl w:ilvl="0">
      <w:start w:val="1"/>
      <w:numFmt w:val="upperLetter"/>
      <w:lvlText w:val="(%1)"/>
      <w:lvlJc w:val="start"/>
      <w:pPr>
        <w:tabs>
          <w:tab w:val="num" w:pos="1440"/>
        </w:tabs>
        <w:ind w:start="1440" w:hanging="720"/>
      </w:pPr>
      <w:rPr/>
    </w:lvl>
  </w:abstractNum>
  <w:abstractNum w:abstractNumId="30">
    <w:lvl w:ilvl="0">
      <w:start w:val="1"/>
      <w:numFmt w:val="upperLetter"/>
      <w:lvlText w:val="(%1)"/>
      <w:lvlJc w:val="start"/>
      <w:pPr>
        <w:tabs>
          <w:tab w:val="num" w:pos="1872"/>
        </w:tabs>
        <w:ind w:start="1872" w:hanging="432"/>
      </w:pPr>
      <w:rPr/>
    </w:lvl>
  </w:abstractNum>
  <w:abstractNum w:abstractNumId="31">
    <w:lvl w:ilvl="0">
      <w:start w:val="1"/>
      <w:numFmt w:val="upperLetter"/>
      <w:lvlText w:val="(%1)"/>
      <w:lvlJc w:val="start"/>
      <w:pPr>
        <w:tabs>
          <w:tab w:val="num" w:pos="720"/>
        </w:tabs>
        <w:ind w:start="720" w:hanging="720"/>
      </w:pPr>
      <w:rPr/>
    </w:lvl>
  </w:abstractNum>
  <w:abstractNum w:abstractNumId="32">
    <w:lvl w:ilvl="0">
      <w:start w:val="1"/>
      <w:numFmt w:val="upperLetter"/>
      <w:lvlText w:val="(%1)"/>
      <w:lvlJc w:val="start"/>
      <w:pPr>
        <w:tabs>
          <w:tab w:val="num" w:pos="720"/>
        </w:tabs>
        <w:ind w:start="720" w:hanging="720"/>
      </w:pPr>
      <w:rPr/>
    </w:lvl>
  </w:abstractNum>
  <w:abstractNum w:abstractNumId="33">
    <w:lvl w:ilvl="0">
      <w:start w:val="1"/>
      <w:numFmt w:val="decimal"/>
      <w:lvlText w:val="%1."/>
      <w:lvlJc w:val="start"/>
      <w:pPr>
        <w:tabs>
          <w:tab w:val="num" w:pos="720"/>
        </w:tabs>
        <w:ind w:start="720" w:hanging="720"/>
      </w:pPr>
      <w:rPr/>
    </w:lvl>
  </w:abstractNum>
  <w:abstractNum w:abstractNumId="34">
    <w:lvl w:ilvl="0">
      <w:start w:val="1"/>
      <w:numFmt w:val="decimal"/>
      <w:lvlText w:val="%1."/>
      <w:lvlJc w:val="start"/>
      <w:pPr>
        <w:tabs>
          <w:tab w:val="num" w:pos="360"/>
        </w:tabs>
        <w:ind w:start="360" w:hanging="360"/>
      </w:pPr>
      <w:rPr>
        <w:sz w:val="26"/>
        <w:i w:val="false"/>
        <w:b w:val="false"/>
        <w:rFonts w:ascii="Bembo" w:hAnsi="Bembo" w:cs="Bemb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style>
  <w:style w:type="character" w:styleId="WW8Num20z0">
    <w:name w:val="WW8Num20z0"/>
    <w:qFormat/>
    <w:rPr>
      <w:rFonts w:ascii="Bembo" w:hAnsi="Bembo" w:cs="Bembo"/>
      <w:sz w:val="26"/>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28z0">
    <w:name w:val="WW8Num28z0"/>
    <w:qFormat/>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Bembo" w:hAnsi="Bembo" w:cs="Bembo"/>
      <w:sz w:val="26"/>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Bembo" w:hAnsi="Bembo" w:cs="Bembo"/>
      <w:b w:val="false"/>
      <w:i w:val="false"/>
      <w:sz w:val="26"/>
    </w:rPr>
  </w:style>
  <w:style w:type="character" w:styleId="WW8Num66z0">
    <w:name w:val="WW8Num66z0"/>
    <w:qFormat/>
    <w:rPr>
      <w:rFonts w:ascii="Bembo" w:hAnsi="Bembo" w:cs="Bembo"/>
      <w:sz w:val="26"/>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Bembo" w:hAnsi="Bembo" w:cs="Bembo"/>
      <w:b w:val="false"/>
      <w:i w:val="false"/>
      <w:sz w:val="26"/>
    </w:rPr>
  </w:style>
  <w:style w:type="character" w:styleId="DefaultParagraphFont">
    <w:name w:val="Default Paragraph Font"/>
    <w:qFormat/>
    <w:rPr/>
  </w:style>
  <w:style w:type="character" w:styleId="CommentReference">
    <w:name w:val="Comment Reference"/>
    <w:basedOn w:val="DefaultParagraphFont"/>
    <w:qFormat/>
    <w:rPr>
      <w:rFonts w:ascii="Bembo" w:hAnsi="Bembo" w:cs="Bembo"/>
      <w:sz w:val="18"/>
      <w:vertAlign w:val="superscript"/>
    </w:rPr>
  </w:style>
  <w:style w:type="character" w:styleId="FootnoteCharacters">
    <w:name w:val="Footnote Characters"/>
    <w:basedOn w:val="DefaultParagraphFont"/>
    <w:qFormat/>
    <w:rPr>
      <w:rFonts w:ascii="Bembo" w:hAnsi="Bembo" w:cs="Bembo"/>
      <w:sz w:val="18"/>
      <w:vertAlign w:val="superscript"/>
    </w:rPr>
  </w:style>
  <w:style w:type="character" w:styleId="EndnoteCharacters">
    <w:name w:val="Endnote Characters"/>
    <w:basedOn w:val="DefaultParagraphFont"/>
    <w:qFormat/>
    <w:rPr>
      <w:rFonts w:ascii="Bembo" w:hAnsi="Bembo" w:cs="Bembo"/>
      <w:vertAlign w:val="superscript"/>
    </w:rPr>
  </w:style>
  <w:style w:type="character" w:styleId="PageNumber">
    <w:name w:val="page number"/>
    <w:basedOn w:val="DefaultParagraphFont"/>
    <w:rPr>
      <w:rFonts w:ascii="Bembo" w:hAnsi="Bembo" w:cs="Bembo"/>
      <w:sz w:val="18"/>
    </w:rPr>
  </w:style>
  <w:style w:type="character" w:styleId="Emphasis">
    <w:name w:val="Emphasis"/>
    <w:basedOn w:val="DefaultParagraphFont"/>
    <w:qFormat/>
    <w:rPr>
      <w:rFonts w:ascii="Bembo" w:hAnsi="Bembo" w:cs="Bembo"/>
      <w:b/>
      <w:i/>
      <w:iCs/>
      <w:sz w:val="26"/>
    </w:rPr>
  </w:style>
  <w:style w:type="character" w:styleId="FollowedHyperlink">
    <w:name w:val="FollowedHyperlink"/>
    <w:basedOn w:val="DefaultParagraphFont"/>
    <w:rPr>
      <w:rFonts w:ascii="Bembo" w:hAnsi="Bembo" w:cs="Bembo"/>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Bembo" w:hAnsi="Bembo" w:cs="Bembo"/>
      <w:sz w:val="26"/>
    </w:rPr>
  </w:style>
  <w:style w:type="paragraph" w:styleId="List">
    <w:name w:val="List"/>
    <w:basedOn w:val="BodyText"/>
    <w:pPr>
      <w:numPr>
        <w:ilvl w:val="0"/>
        <w:numId w:val="10"/>
      </w:numPr>
    </w:pPr>
    <w:rPr/>
  </w:style>
  <w:style w:type="paragraph" w:styleId="Caption">
    <w:name w:val="caption"/>
    <w:basedOn w:val="Normal"/>
    <w:next w:val="BodyText"/>
    <w:qFormat/>
    <w:pPr>
      <w:spacing w:before="120" w:after="120"/>
    </w:pPr>
    <w:rPr>
      <w:rFonts w:ascii="Bembo" w:hAnsi="Bembo" w:cs="Bembo"/>
      <w:b/>
      <w:bCs/>
      <w:sz w:val="18"/>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rFonts w:ascii="Bembo" w:hAnsi="Bembo" w:cs="Bembo"/>
      <w:sz w:val="18"/>
    </w:rPr>
  </w:style>
  <w:style w:type="paragraph" w:styleId="TOC8">
    <w:name w:val="toc 8"/>
    <w:basedOn w:val="BodyText"/>
    <w:pPr>
      <w:tabs>
        <w:tab w:val="clear" w:pos="720"/>
        <w:tab w:val="right" w:pos="8309" w:leader="dot"/>
      </w:tabs>
      <w:ind w:hanging="0" w:start="1440" w:end="0"/>
    </w:pPr>
    <w:rPr>
      <w:i/>
    </w:rPr>
  </w:style>
  <w:style w:type="paragraph" w:styleId="TOC3">
    <w:name w:val="toc 3"/>
    <w:basedOn w:val="BodyText"/>
    <w:next w:val="BodyText"/>
    <w:pPr>
      <w:tabs>
        <w:tab w:val="clear" w:pos="720"/>
        <w:tab w:val="right" w:pos="8309" w:leader="dot"/>
      </w:tabs>
      <w:spacing w:before="0" w:after="0"/>
      <w:ind w:hanging="0" w:start="432" w:end="0"/>
      <w:jc w:val="start"/>
    </w:pPr>
    <w:rPr/>
  </w:style>
  <w:style w:type="paragraph" w:styleId="TOC7">
    <w:name w:val="toc 7"/>
    <w:basedOn w:val="BodyText"/>
    <w:pPr>
      <w:tabs>
        <w:tab w:val="clear" w:pos="720"/>
        <w:tab w:val="right" w:pos="8309" w:leader="dot"/>
      </w:tabs>
      <w:spacing w:before="0" w:after="0"/>
      <w:ind w:hanging="0" w:start="778" w:end="0"/>
    </w:pPr>
    <w:rPr>
      <w:i/>
    </w:rPr>
  </w:style>
  <w:style w:type="paragraph" w:styleId="TOC6">
    <w:name w:val="toc 6"/>
    <w:basedOn w:val="BodyText"/>
    <w:pPr>
      <w:tabs>
        <w:tab w:val="clear" w:pos="720"/>
        <w:tab w:val="right" w:pos="8309" w:leader="dot"/>
      </w:tabs>
      <w:spacing w:before="0" w:after="0"/>
      <w:ind w:hanging="0" w:start="432" w:end="0"/>
      <w:jc w:val="start"/>
    </w:pPr>
    <w:rPr/>
  </w:style>
  <w:style w:type="paragraph" w:styleId="TOC5">
    <w:name w:val="toc 5"/>
    <w:basedOn w:val="BodyText"/>
    <w:pPr>
      <w:tabs>
        <w:tab w:val="clear" w:pos="720"/>
        <w:tab w:val="right" w:pos="8309" w:leader="dot"/>
      </w:tabs>
      <w:spacing w:before="120" w:after="120"/>
      <w:jc w:val="start"/>
    </w:pPr>
    <w:rPr>
      <w:caps/>
    </w:rPr>
  </w:style>
  <w:style w:type="paragraph" w:styleId="TOC4">
    <w:name w:val="toc 4"/>
    <w:basedOn w:val="BodyText"/>
    <w:next w:val="BodyText"/>
    <w:pPr>
      <w:tabs>
        <w:tab w:val="clear" w:pos="720"/>
        <w:tab w:val="right" w:pos="8309" w:leader="dot"/>
      </w:tabs>
      <w:spacing w:before="0" w:after="0"/>
      <w:ind w:hanging="0" w:start="780" w:end="0"/>
      <w:jc w:val="start"/>
    </w:pPr>
    <w:rPr/>
  </w:style>
  <w:style w:type="paragraph" w:styleId="TOC2">
    <w:name w:val="toc 2"/>
    <w:basedOn w:val="BodyText"/>
    <w:next w:val="BodyText"/>
    <w:pPr>
      <w:numPr>
        <w:ilvl w:val="0"/>
        <w:numId w:val="34"/>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tabs>
        <w:tab w:val="clear" w:pos="720"/>
        <w:tab w:val="right" w:pos="8309" w:leader="dot"/>
      </w:tabs>
      <w:spacing w:before="120" w:after="120"/>
      <w:jc w:val="start"/>
    </w:pPr>
    <w:rPr>
      <w:caps/>
    </w:rPr>
  </w:style>
  <w:style w:type="paragraph" w:styleId="Index1">
    <w:name w:val="index 1"/>
    <w:basedOn w:val="BodyText"/>
    <w:next w:val="Normal"/>
    <w:pPr/>
    <w:rPr/>
  </w:style>
  <w:style w:type="paragraph" w:styleId="IndexHeading">
    <w:name w:val="index heading"/>
    <w:basedOn w:val="BodyText"/>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BodyText"/>
    <w:pPr>
      <w:tabs>
        <w:tab w:val="clear" w:pos="720"/>
        <w:tab w:val="right" w:pos="8280" w:leader="none"/>
      </w:tabs>
    </w:pPr>
    <w:rPr>
      <w:sz w:val="18"/>
    </w:rPr>
  </w:style>
  <w:style w:type="paragraph" w:styleId="Header">
    <w:name w:val="header"/>
    <w:basedOn w:val="BodyText"/>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BodyText"/>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TOAHeading">
    <w:name w:val="TOA Heading"/>
    <w:basedOn w:val="BodyText"/>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rFonts w:ascii="Bembo" w:hAnsi="Bembo" w:cs="Bembo"/>
      <w:sz w:val="26"/>
    </w:rPr>
  </w:style>
  <w:style w:type="paragraph" w:styleId="BodyTextIndent">
    <w:name w:val="Body Text Indent"/>
    <w:basedOn w:val="Normal"/>
    <w:pPr>
      <w:spacing w:before="0" w:after="240"/>
      <w:ind w:hanging="0" w:start="360" w:end="0"/>
      <w:jc w:val="both"/>
    </w:pPr>
    <w:rPr>
      <w:rFonts w:ascii="Bembo" w:hAnsi="Bembo" w:cs="Bembo"/>
      <w:sz w:val="26"/>
    </w:rPr>
  </w:style>
  <w:style w:type="paragraph" w:styleId="EndnoteText">
    <w:name w:val="endnote text"/>
    <w:basedOn w:val="BodyText"/>
    <w:pPr>
      <w:spacing w:before="0" w:after="120"/>
    </w:pPr>
    <w:rPr>
      <w:sz w:val="18"/>
      <w:szCs w:val="20"/>
    </w:rPr>
  </w:style>
  <w:style w:type="paragraph" w:styleId="BodyText2">
    <w:name w:val="Body Text 2"/>
    <w:basedOn w:val="Normal"/>
    <w:qFormat/>
    <w:pPr>
      <w:spacing w:before="0" w:after="240"/>
      <w:jc w:val="both"/>
    </w:pPr>
    <w:rPr>
      <w:rFonts w:ascii="Bembo" w:hAnsi="Bembo" w:cs="Bembo"/>
      <w:sz w:val="26"/>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BodyText"/>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rFonts w:ascii="Bembo" w:hAnsi="Bembo" w:cs="Bembo"/>
      <w:sz w:val="26"/>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rFonts w:ascii="Bembo" w:hAnsi="Bembo" w:cs="Bembo"/>
      <w:sz w:val="26"/>
    </w:rPr>
  </w:style>
  <w:style w:type="paragraph" w:styleId="BodyTextIndent3">
    <w:name w:val="Body Text Indent 3"/>
    <w:basedOn w:val="Normal"/>
    <w:qFormat/>
    <w:pPr>
      <w:spacing w:before="0" w:after="240"/>
      <w:ind w:hanging="0" w:start="1080" w:end="0"/>
      <w:jc w:val="both"/>
    </w:pPr>
    <w:rPr>
      <w:rFonts w:ascii="Bembo" w:hAnsi="Bembo" w:cs="Bembo"/>
      <w:sz w:val="26"/>
      <w:szCs w:val="16"/>
    </w:rPr>
  </w:style>
  <w:style w:type="paragraph" w:styleId="Closing">
    <w:name w:val="Closing"/>
    <w:basedOn w:val="Normal"/>
    <w:qFormat/>
    <w:pPr>
      <w:ind w:hanging="0" w:start="4320" w:end="0"/>
    </w:pPr>
    <w:rPr>
      <w:rFonts w:ascii="Bembo" w:hAnsi="Bembo" w:cs="Bembo"/>
      <w:sz w:val="26"/>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rFonts w:ascii="Bembo" w:hAnsi="Bembo" w:cs="Bembo"/>
      <w:sz w:val="26"/>
    </w:rPr>
  </w:style>
  <w:style w:type="paragraph" w:styleId="EnvelopeAddress">
    <w:name w:val="envelope address"/>
    <w:basedOn w:val="Normal"/>
    <w:pPr>
      <w:spacing w:before="0" w:after="0"/>
    </w:pPr>
    <w:rPr>
      <w:rFonts w:ascii="Bembo" w:hAnsi="Bembo" w:cs="Arial"/>
      <w:sz w:val="26"/>
    </w:rPr>
  </w:style>
  <w:style w:type="paragraph" w:styleId="EnvelopeReturn">
    <w:name w:val="envelope return"/>
    <w:basedOn w:val="Normal"/>
    <w:pPr/>
    <w:rPr>
      <w:rFonts w:ascii="Bembo" w:hAnsi="Bembo" w:cs="Arial"/>
      <w:sz w:val="26"/>
      <w:szCs w:val="20"/>
    </w:rPr>
  </w:style>
  <w:style w:type="paragraph" w:styleId="Index2">
    <w:name w:val="index 2"/>
    <w:basedOn w:val="BodyText"/>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BodyText"/>
    <w:next w:val="Normal"/>
    <w:qFormat/>
    <w:pPr>
      <w:ind w:hanging="240" w:start="960" w:end="0"/>
    </w:pPr>
    <w:rPr/>
  </w:style>
  <w:style w:type="paragraph" w:styleId="Index5">
    <w:name w:val="Index 5"/>
    <w:basedOn w:val="BodyText"/>
    <w:next w:val="Normal"/>
    <w:qFormat/>
    <w:pPr>
      <w:ind w:hanging="240" w:start="1200" w:end="0"/>
    </w:pPr>
    <w:rPr/>
  </w:style>
  <w:style w:type="paragraph" w:styleId="Index6">
    <w:name w:val="Index 6"/>
    <w:basedOn w:val="BodyText"/>
    <w:next w:val="Normal"/>
    <w:qFormat/>
    <w:pPr>
      <w:ind w:hanging="240" w:start="1440" w:end="0"/>
    </w:pPr>
    <w:rPr/>
  </w:style>
  <w:style w:type="paragraph" w:styleId="Index7">
    <w:name w:val="Index 7"/>
    <w:basedOn w:val="BodyText"/>
    <w:next w:val="Normal"/>
    <w:qFormat/>
    <w:pPr>
      <w:ind w:hanging="240" w:start="1680" w:end="0"/>
    </w:pPr>
    <w:rPr/>
  </w:style>
  <w:style w:type="paragraph" w:styleId="Index8">
    <w:name w:val="Index 8"/>
    <w:basedOn w:val="BodyText"/>
    <w:next w:val="Normal"/>
    <w:qFormat/>
    <w:pPr>
      <w:ind w:hanging="240" w:start="1920" w:end="0"/>
    </w:pPr>
    <w:rPr/>
  </w:style>
  <w:style w:type="paragraph" w:styleId="Index9">
    <w:name w:val="Index 9"/>
    <w:basedOn w:val="BodyText"/>
    <w:next w:val="Normal"/>
    <w:qFormat/>
    <w:pPr>
      <w:ind w:hanging="240" w:start="2160" w:end="0"/>
    </w:pPr>
    <w:rPr/>
  </w:style>
  <w:style w:type="paragraph" w:styleId="ListBullet2">
    <w:name w:val="List Bullet 2"/>
    <w:basedOn w:val="BodyText"/>
    <w:pPr>
      <w:numPr>
        <w:ilvl w:val="0"/>
        <w:numId w:val="26"/>
      </w:numPr>
      <w:tabs>
        <w:tab w:val="clear" w:pos="720"/>
        <w:tab w:val="left" w:pos="360" w:leader="none"/>
      </w:tabs>
      <w:ind w:hanging="360" w:start="360" w:end="0"/>
    </w:pPr>
    <w:rPr/>
  </w:style>
  <w:style w:type="paragraph" w:styleId="ListBullet3">
    <w:name w:val="List Bullet 3"/>
    <w:basedOn w:val="BodyText"/>
    <w:pPr>
      <w:numPr>
        <w:ilvl w:val="0"/>
        <w:numId w:val="25"/>
      </w:numPr>
    </w:pPr>
    <w:rPr/>
  </w:style>
  <w:style w:type="paragraph" w:styleId="ListBullet4">
    <w:name w:val="List Bullet 4"/>
    <w:basedOn w:val="BodyText"/>
    <w:pPr>
      <w:numPr>
        <w:ilvl w:val="0"/>
        <w:numId w:val="30"/>
      </w:numPr>
    </w:pPr>
    <w:rPr/>
  </w:style>
  <w:style w:type="paragraph" w:styleId="ListBullet5">
    <w:name w:val="List Bullet 5"/>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2000-04-20T12:11:00Z</dcterms:created>
  <dc:creator>Melissa Raciti</dc:creator>
  <dc:description/>
  <dc:language>en-CA</dc:language>
  <cp:lastModifiedBy>Melissa Raciti</cp:lastModifiedBy>
  <cp:lastPrinted>2000-04-05T11:57:00Z</cp:lastPrinted>
  <dcterms:modified xsi:type="dcterms:W3CDTF">2000-04-20T12:11:00Z</dcterms:modified>
  <cp:revision>2</cp:revision>
  <dc:subject>8+</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ClearView~NY003675655~~066695-0008~</vt:lpwstr>
  </property>
  <property fmtid="{D5CDD505-2E9C-101B-9397-08002B2CF9AE}" pid="3" name="ClearView IsDirty">
    <vt:lpwstr>YES</vt:lpwstr>
  </property>
</Properties>
</file>