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bCs/>
        </w:rPr>
      </w:pPr>
      <w:r>
        <w:rPr>
          <w:b/>
          <w:bCs/>
        </w:rPr>
        <w:t>US HeatOil2 Swap</w:t>
        <w:tab/>
        <w:t>NX HO vs IPE Gasoil</w:t>
        <w:tab/>
        <w:tab/>
        <w:t>Q1 2002</w:t>
        <w:tab/>
        <w:t>c/Gl-b</w:t>
      </w:r>
    </w:p>
    <w:p>
      <w:pPr>
        <w:pStyle w:val="BodyText"/>
        <w:rPr>
          <w:b/>
          <w:bCs/>
        </w:rPr>
      </w:pPr>
      <w:r>
        <w:rPr>
          <w:b/>
          <w:bCs/>
        </w:rPr>
      </w:r>
    </w:p>
    <w:p>
      <w:pPr>
        <w:pStyle w:val="BodyText"/>
        <w:rPr/>
      </w:pPr>
      <w:r>
        <w:rPr/>
        <w:t>A US Heating Oil Swap financial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shall be the volume submitted by Counterparty via EnronOnline.  The Payment Date(s) will be 5 business days after the Floating Price is determinable. The Floating Price shall be the Index for the relevant Determination Period.</w:t>
      </w:r>
    </w:p>
    <w:p>
      <w:pPr>
        <w:pStyle w:val="Normal"/>
        <w:rPr>
          <w:rFonts w:ascii="Century Gothic" w:hAnsi="Century Gothic" w:cs="Century Gothic"/>
          <w:sz w:val="20"/>
        </w:rPr>
      </w:pPr>
      <w:r>
        <w:rPr>
          <w:rFonts w:cs="Century Gothic" w:ascii="Century Gothic" w:hAnsi="Century Gothic"/>
          <w:sz w:val="20"/>
        </w:rPr>
        <w:t>The term of the Q1 02 Transaction shall be from the Effective Date (or start date) to the Termination Date (or end date). The Effective Date (or start date) is 01 January 2002. The Termination Date (or end date) is 31 March 2002.</w:t>
      </w:r>
    </w:p>
    <w:p>
      <w:pPr>
        <w:pStyle w:val="Normal"/>
        <w:rPr>
          <w:rFonts w:ascii="Century Gothic" w:hAnsi="Century Gothic" w:cs="Century Gothic"/>
          <w:sz w:val="20"/>
        </w:rPr>
      </w:pPr>
      <w:r>
        <w:rPr>
          <w:rFonts w:cs="Century Gothic" w:ascii="Century Gothic" w:hAnsi="Century Gothic"/>
          <w:sz w:val="20"/>
        </w:rPr>
        <w:t>The Index for a Determination Period shall be the difference obtained by subtracting (i) the quotient obtained by dividing (a) the arithmetic average of the daily settlement prices for the prompt month of the IPE Gasoil Futures contract for each Commodity Business Day/Trading Day for the applicable Determination Period, with the exception of the last Commodity Business Day/Trading Day of the prompt month for which day the settlement price for the Second Nearby Month will be used by (b) 3.1323 from (ii) the arithmetic average of the daily settlement prices for the prompt month NYMEX No. 2 Heating Oil Futures Contract for each Pricing Date in such Determination Period. "Pricing Date" means, a day on which Platt's Oilgram Report is published and which is also a NYMEX trading day.</w:t>
      </w:r>
    </w:p>
    <w:p>
      <w:pPr>
        <w:pStyle w:val="Normal"/>
        <w:rPr>
          <w:rFonts w:ascii="Century Gothic" w:hAnsi="Century Gothic" w:cs="Century Gothic"/>
          <w:sz w:val="20"/>
        </w:rPr>
      </w:pPr>
      <w:r>
        <w:rPr>
          <w:rFonts w:cs="Century Gothic" w:ascii="Century Gothic" w:hAnsi="Century Gothic"/>
          <w:sz w:val="20"/>
        </w:rPr>
        <w:t>The price is quoted in cents (US) per unit of measure which will be the Contractual Currency.</w:t>
      </w:r>
    </w:p>
    <w:p>
      <w:pPr>
        <w:pStyle w:val="Normal"/>
        <w:rPr>
          <w:rFonts w:ascii="Century Gothic" w:hAnsi="Century Gothic" w:cs="Century Gothic"/>
          <w:sz w:val="20"/>
        </w:rPr>
      </w:pPr>
      <w:r>
        <w:rPr>
          <w:rFonts w:cs="Century Gothic" w:ascii="Century Gothic" w:hAnsi="Century Gothic"/>
          <w:sz w:val="20"/>
        </w:rPr>
        <w:t>The unit of measure against which the price is quoted shall be gallons and the volume shown shall be in total number of Barrels (42 US Gallons) per month.</w:t>
      </w:r>
    </w:p>
    <w:p>
      <w:pPr>
        <w:pStyle w:val="Normal"/>
        <w:rPr>
          <w:rFonts w:ascii="Century Gothic" w:hAnsi="Century Gothic" w:cs="Century Gothic"/>
          <w:sz w:val="20"/>
        </w:rPr>
      </w:pPr>
      <w:r>
        <w:rPr>
          <w:rFonts w:cs="Century Gothic" w:ascii="Century Gothic" w:hAnsi="Century Gothic"/>
          <w:sz w:val="20"/>
        </w:rPr>
      </w:r>
    </w:p>
    <w:p>
      <w:pPr>
        <w:pStyle w:val="Normal"/>
        <w:rPr>
          <w:rFonts w:ascii="Century Gothic" w:hAnsi="Century Gothic" w:cs="Century Gothic"/>
          <w:sz w:val="20"/>
        </w:rPr>
      </w:pPr>
      <w:r>
        <w:rPr>
          <w:rFonts w:cs="Century Gothic" w:ascii="Century Gothic" w:hAnsi="Century Gothic"/>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Century Gothic" w:hAnsi="Century Gothic" w:cs="Century Gothic"/>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2001-09-06T12:54:00Z</dcterms:created>
  <dc:creator>kmeredi</dc:creator>
  <dc:description/>
  <dc:language>en-CA</dc:language>
  <cp:lastModifiedBy>kmeredi</cp:lastModifiedBy>
  <dcterms:modified xsi:type="dcterms:W3CDTF">2001-09-06T13:57:00Z</dcterms:modified>
  <cp:revision>1</cp:revision>
  <dc:subject/>
  <dc:title>US HeatOil2 Swap</dc:title>
</cp:coreProperties>
</file>