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sz w:val="32"/>
        </w:rPr>
      </w:pPr>
      <w:r>
        <w:rPr>
          <w:sz w:val="32"/>
        </w:rPr>
        <w:t>Nancy Whorton George</w:t>
      </w:r>
    </w:p>
    <w:p>
      <w:pPr>
        <w:pStyle w:val="Address2"/>
        <w:rPr>
          <w:sz w:val="2"/>
        </w:rPr>
      </w:pPr>
      <w:r>
        <w:rPr>
          <w:sz w:val="2"/>
        </w:rPr>
      </w:r>
      <w:r>
        <mc:AlternateContent>
          <mc:Choice Requires="wps">
            <w:drawing>
              <wp:anchor behindDoc="0" distT="0" distB="0" distL="0" distR="0" simplePos="0" locked="0" layoutInCell="0" allowOverlap="1" relativeHeight="2">
                <wp:simplePos x="0" y="0"/>
                <wp:positionH relativeFrom="page">
                  <wp:posOffset>3886835</wp:posOffset>
                </wp:positionH>
                <wp:positionV relativeFrom="page">
                  <wp:posOffset>732155</wp:posOffset>
                </wp:positionV>
                <wp:extent cx="1289050" cy="204470"/>
                <wp:effectExtent l="0" t="0" r="0" b="0"/>
                <wp:wrapTopAndBottom/>
                <wp:docPr id="1" name="Frame1"/>
                <a:graphic xmlns:a="http://schemas.openxmlformats.org/drawingml/2006/main">
                  <a:graphicData uri="http://schemas.microsoft.com/office/word/2010/wordprocessingShape">
                    <wps:wsp>
                      <wps:cNvSpPr txBox="1"/>
                      <wps:spPr>
                        <a:xfrm>
                          <a:off x="0" y="0"/>
                          <a:ext cx="1289050" cy="204470"/>
                        </a:xfrm>
                        <a:prstGeom prst="rect"/>
                        <a:solidFill>
                          <a:srgbClr val="FFFFFF">
                            <a:alpha val="0"/>
                          </a:srgbClr>
                        </a:solidFill>
                      </wps:spPr>
                      <wps:txbx>
                        <w:txbxContent>
                          <w:p>
                            <w:pPr>
                              <w:pStyle w:val="Address2"/>
                              <w:rPr/>
                            </w:pPr>
                            <w:r>
                              <w:rPr/>
                              <w:t>1601 Chapel Hill Drive</w:t>
                            </w:r>
                          </w:p>
                          <w:p>
                            <w:pPr>
                              <w:pStyle w:val="Address2"/>
                              <w:rPr/>
                            </w:pPr>
                            <w:r>
                              <w:rPr/>
                              <w:t>Alexandria, Virginia 22304</w:t>
                            </w:r>
                          </w:p>
                        </w:txbxContent>
                      </wps:txbx>
                      <wps:bodyPr anchor="t" lIns="0" tIns="0" rIns="0" bIns="0">
                        <a:noAutofit/>
                      </wps:bodyPr>
                    </wps:wsp>
                  </a:graphicData>
                </a:graphic>
              </wp:anchor>
            </w:drawing>
          </mc:Choice>
          <mc:Fallback>
            <w:pict>
              <v:rect fillcolor="#FFFFFF" style="position:absolute;rotation:-0;width:101.5pt;height:16.1pt;mso-wrap-distance-left:0pt;mso-wrap-distance-right:0pt;mso-wrap-distance-top:0pt;mso-wrap-distance-bottom:0pt;margin-top:57.65pt;mso-position-vertical-relative:page;margin-left:306.05pt;mso-position-horizontal-relative:page">
                <v:fill opacity="0f"/>
                <v:textbox inset="0in,0in,0in,0in">
                  <w:txbxContent>
                    <w:p>
                      <w:pPr>
                        <w:pStyle w:val="Address2"/>
                        <w:rPr/>
                      </w:pPr>
                      <w:r>
                        <w:rPr/>
                        <w:t>1601 Chapel Hill Drive</w:t>
                      </w:r>
                    </w:p>
                    <w:p>
                      <w:pPr>
                        <w:pStyle w:val="Address2"/>
                        <w:rPr/>
                      </w:pPr>
                      <w:r>
                        <w:rPr/>
                        <w:t>Alexandria, Virginia 22304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5258435</wp:posOffset>
                </wp:positionH>
                <wp:positionV relativeFrom="page">
                  <wp:posOffset>732155</wp:posOffset>
                </wp:positionV>
                <wp:extent cx="1371600" cy="408940"/>
                <wp:effectExtent l="0" t="0" r="0" b="0"/>
                <wp:wrapTopAndBottom/>
                <wp:docPr id="2" name="Frame2"/>
                <a:graphic xmlns:a="http://schemas.openxmlformats.org/drawingml/2006/main">
                  <a:graphicData uri="http://schemas.microsoft.com/office/word/2010/wordprocessingShape">
                    <wps:wsp>
                      <wps:cNvSpPr txBox="1"/>
                      <wps:spPr>
                        <a:xfrm>
                          <a:off x="0" y="0"/>
                          <a:ext cx="1371600" cy="408940"/>
                        </a:xfrm>
                        <a:prstGeom prst="rect"/>
                        <a:solidFill>
                          <a:srgbClr val="FFFFFF">
                            <a:alpha val="0"/>
                          </a:srgbClr>
                        </a:solidFill>
                      </wps:spPr>
                      <wps:txbx>
                        <w:txbxContent>
                          <w:p>
                            <w:pPr>
                              <w:pStyle w:val="Address1"/>
                              <w:rPr/>
                            </w:pPr>
                            <w:r>
                              <w:rPr/>
                              <w:t>Phone 703-370-6655 or 202-662-4300</w:t>
                            </w:r>
                          </w:p>
                          <w:p>
                            <w:pPr>
                              <w:pStyle w:val="Address1"/>
                              <w:rPr/>
                            </w:pPr>
                            <w:r>
                              <w:rPr/>
                              <w:t>Fax 202-662-4315</w:t>
                            </w:r>
                          </w:p>
                          <w:p>
                            <w:pPr>
                              <w:pStyle w:val="Address1"/>
                              <w:rPr/>
                            </w:pPr>
                            <w:r>
                              <w:rPr/>
                              <w:t>E-mail georgen@epenergy.com</w:t>
                            </w:r>
                          </w:p>
                        </w:txbxContent>
                      </wps:txbx>
                      <wps:bodyPr anchor="t" lIns="0" tIns="0" rIns="0" bIns="0">
                        <a:noAutofit/>
                      </wps:bodyPr>
                    </wps:wsp>
                  </a:graphicData>
                </a:graphic>
              </wp:anchor>
            </w:drawing>
          </mc:Choice>
          <mc:Fallback>
            <w:pict>
              <v:rect fillcolor="#FFFFFF" style="position:absolute;rotation:-0;width:108pt;height:32.2pt;mso-wrap-distance-left:0pt;mso-wrap-distance-right:0pt;mso-wrap-distance-top:0pt;mso-wrap-distance-bottom:0pt;margin-top:57.65pt;mso-position-vertical-relative:page;margin-left:414.05pt;mso-position-horizontal-relative:page">
                <v:fill opacity="0f"/>
                <v:textbox inset="0in,0in,0in,0in">
                  <w:txbxContent>
                    <w:p>
                      <w:pPr>
                        <w:pStyle w:val="Address1"/>
                        <w:rPr/>
                      </w:pPr>
                      <w:r>
                        <w:rPr/>
                        <w:t>Phone 703-370-6655 or 202-662-4300</w:t>
                      </w:r>
                    </w:p>
                    <w:p>
                      <w:pPr>
                        <w:pStyle w:val="Address1"/>
                        <w:rPr/>
                      </w:pPr>
                      <w:r>
                        <w:rPr/>
                        <w:t>Fax 202-662-4315</w:t>
                      </w:r>
                    </w:p>
                    <w:p>
                      <w:pPr>
                        <w:pStyle w:val="Address1"/>
                        <w:rPr/>
                      </w:pPr>
                      <w:r>
                        <w:rPr/>
                        <w:t>E-mail georgen@epenergy.com</w:t>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Normal"/>
              <w:rPr>
                <w:rFonts w:ascii="Arial Black" w:hAnsi="Arial Black" w:cs="Arial Black"/>
                <w:sz w:val="22"/>
              </w:rPr>
            </w:pPr>
            <w:r>
              <w:rPr>
                <w:rFonts w:cs="Arial Black" w:ascii="Arial Black" w:hAnsi="Arial Black"/>
                <w:sz w:val="22"/>
              </w:rPr>
              <w:t xml:space="preserve">Professional </w:t>
            </w:r>
          </w:p>
          <w:p>
            <w:pPr>
              <w:pStyle w:val="Normal"/>
              <w:rPr/>
            </w:pPr>
            <w:r>
              <w:rPr>
                <w:rFonts w:cs="Arial Black" w:ascii="Arial Black" w:hAnsi="Arial Black"/>
                <w:sz w:val="22"/>
              </w:rPr>
              <w:t>experience</w:t>
            </w:r>
          </w:p>
        </w:tc>
        <w:tc>
          <w:tcPr>
            <w:tcW w:w="6667" w:type="dxa"/>
            <w:tcBorders/>
          </w:tcPr>
          <w:p>
            <w:pPr>
              <w:pStyle w:val="CompanyName"/>
              <w:spacing w:lineRule="atLeast" w:line="220" w:before="240" w:after="40"/>
              <w:rPr/>
            </w:pPr>
            <w:r>
              <w:rPr/>
              <w:t>January 2001                New Capitol Solutions                Washington, DC</w:t>
            </w:r>
          </w:p>
          <w:p>
            <w:pPr>
              <w:pStyle w:val="JobTitle"/>
              <w:rPr/>
            </w:pPr>
            <w:r>
              <w:rPr/>
              <w:t>President and CEO</w:t>
            </w:r>
          </w:p>
          <w:p>
            <w:pPr>
              <w:pStyle w:val="Achievement"/>
              <w:numPr>
                <w:ilvl w:val="0"/>
                <w:numId w:val="2"/>
              </w:numPr>
              <w:ind w:hanging="0" w:start="0"/>
              <w:rPr/>
            </w:pPr>
            <w:r>
              <w:rPr/>
              <w:t>Management consulting for high-tech companies, specializing in assessing the corporate needs for Washington representation; re-engineering Washington offices as a result of mergers or acquisitions; crisis management during special Congressional hearings, government investigations, anti-trust cases, and business emergencies resulting from product recalls, operational accidents, or other mishaps.</w:t>
            </w:r>
          </w:p>
          <w:p>
            <w:pPr>
              <w:pStyle w:val="CompanyName"/>
              <w:rPr/>
            </w:pPr>
            <w:r>
              <w:rPr/>
              <w:t>1992-2001</w:t>
              <w:tab/>
              <w:t>El Paso Energy Corporation</w:t>
              <w:tab/>
              <w:t>Washington, DC</w:t>
            </w:r>
          </w:p>
          <w:p>
            <w:pPr>
              <w:pStyle w:val="JobTitle"/>
              <w:rPr/>
            </w:pPr>
            <w:r>
              <w:rPr/>
              <w:t>Vice President, Government Affairs</w:t>
            </w:r>
          </w:p>
          <w:p>
            <w:pPr>
              <w:pStyle w:val="Achievement"/>
              <w:numPr>
                <w:ilvl w:val="0"/>
                <w:numId w:val="2"/>
              </w:numPr>
              <w:ind w:hanging="0" w:start="0"/>
              <w:rPr/>
            </w:pPr>
            <w:r>
              <w:rPr/>
              <w:t>Executive head of Washington Office; Responsible for Federal, International, and State Government Affairs, Regulatory Relations, and the Corporate Political Action Committee; Responsible for the creation, implementation, and execution of Corporate-wide strategy for El Paso Energy Corporation, one of the world’s leading integrated energy companies, with over $35 billion in assets.  El Paso Energy owns North America’s largest natural gas pipeline systems and has operations in natural gas transmission, merchant energy services, power generation, international project development, gas gathering and processing, oil and gas production, and telecommunications.</w:t>
            </w:r>
          </w:p>
          <w:p>
            <w:pPr>
              <w:pStyle w:val="Achievement"/>
              <w:numPr>
                <w:ilvl w:val="0"/>
                <w:numId w:val="0"/>
              </w:numPr>
              <w:ind w:hanging="0" w:start="0"/>
              <w:rPr/>
            </w:pPr>
            <w:r>
              <w:rPr/>
            </w:r>
          </w:p>
          <w:p>
            <w:pPr>
              <w:pStyle w:val="Achievement"/>
              <w:numPr>
                <w:ilvl w:val="0"/>
                <w:numId w:val="0"/>
              </w:numPr>
              <w:ind w:hanging="0" w:start="0"/>
              <w:rPr/>
            </w:pPr>
            <w:r>
              <w:rPr/>
              <w:t>1980-1992</w:t>
              <w:tab/>
              <w:t xml:space="preserve">            The George Companies                 </w:t>
              <w:tab/>
              <w:t>Washington, DC</w:t>
            </w:r>
          </w:p>
          <w:p>
            <w:pPr>
              <w:pStyle w:val="JobTitle"/>
              <w:rPr/>
            </w:pPr>
            <w:r>
              <w:rPr>
                <w:rFonts w:eastAsia="Arial Black"/>
              </w:rPr>
              <w:t xml:space="preserve"> </w:t>
            </w:r>
            <w:r>
              <w:rPr/>
              <w:t>President and CEO</w:t>
            </w:r>
          </w:p>
          <w:p>
            <w:pPr>
              <w:pStyle w:val="Achievement"/>
              <w:numPr>
                <w:ilvl w:val="0"/>
                <w:numId w:val="2"/>
              </w:numPr>
              <w:ind w:hanging="0" w:start="0"/>
              <w:rPr/>
            </w:pPr>
            <w:r>
              <w:rPr/>
              <w:t xml:space="preserve">Executive head of a legislative-legal firm specializing in corporate issues before Congress and various Federal Agencies; Clients included Fortune 500 companies such as Enron Corporation, Transco Energy Company, Sun Company, Inc., and Columbia Gas; Responsible for designing and implementing major domestic and international policy issue campaigns, including multi-industry coalitions. </w:t>
            </w:r>
          </w:p>
          <w:p>
            <w:pPr>
              <w:pStyle w:val="Achievement"/>
              <w:numPr>
                <w:ilvl w:val="0"/>
                <w:numId w:val="0"/>
              </w:numPr>
              <w:spacing w:lineRule="auto" w:line="240" w:before="0" w:after="60"/>
              <w:ind w:hanging="0" w:start="0"/>
              <w:rPr>
                <w:rFonts w:ascii="Arial Black" w:hAnsi="Arial Black" w:cs="Arial Black"/>
              </w:rPr>
            </w:pPr>
            <w:r>
              <w:rPr>
                <w:rFonts w:cs="Arial Black" w:ascii="Arial Black" w:hAnsi="Arial Black"/>
              </w:rPr>
            </w:r>
          </w:p>
        </w:tc>
      </w:tr>
      <w:tr>
        <w:trPr/>
        <w:tc>
          <w:tcPr>
            <w:tcW w:w="2160" w:type="dxa"/>
            <w:tcBorders/>
          </w:tcPr>
          <w:p>
            <w:pPr>
              <w:pStyle w:val="Normal"/>
              <w:rPr>
                <w:rFonts w:ascii="Arial Black" w:hAnsi="Arial Black" w:cs="Arial Black"/>
                <w:sz w:val="22"/>
              </w:rPr>
            </w:pPr>
            <w:r>
              <w:rPr>
                <w:rFonts w:cs="Arial Black" w:ascii="Arial Black" w:hAnsi="Arial Black"/>
                <w:sz w:val="22"/>
              </w:rPr>
              <w:t xml:space="preserve">Board </w:t>
            </w:r>
          </w:p>
          <w:p>
            <w:pPr>
              <w:pStyle w:val="Normal"/>
              <w:rPr/>
            </w:pPr>
            <w:r>
              <w:rPr>
                <w:rFonts w:cs="Arial Black" w:ascii="Arial Black" w:hAnsi="Arial Black"/>
                <w:sz w:val="22"/>
              </w:rPr>
              <w:t>Appointments</w:t>
            </w:r>
          </w:p>
          <w:p>
            <w:pPr>
              <w:pStyle w:val="Normal"/>
              <w:rPr>
                <w:rFonts w:ascii="Arial Black" w:hAnsi="Arial Black" w:cs="Arial Black"/>
                <w:sz w:val="22"/>
              </w:rPr>
            </w:pPr>
            <w:r>
              <w:rPr>
                <w:rFonts w:cs="Arial Black" w:ascii="Arial Black" w:hAnsi="Arial Black"/>
                <w:sz w:val="22"/>
              </w:rPr>
            </w:r>
          </w:p>
        </w:tc>
        <w:tc>
          <w:tcPr>
            <w:tcW w:w="6667" w:type="dxa"/>
            <w:tcBorders/>
          </w:tcPr>
          <w:p>
            <w:pPr>
              <w:pStyle w:val="Objective"/>
              <w:spacing w:lineRule="auto" w:line="240" w:before="240" w:after="220"/>
              <w:rPr/>
            </w:pPr>
            <w:r>
              <w:rPr/>
              <w:t>Capitol Forum – 1997-2000</w:t>
            </w:r>
          </w:p>
          <w:p>
            <w:pPr>
              <w:pStyle w:val="BodyText"/>
              <w:spacing w:lineRule="auto" w:line="240"/>
              <w:rPr/>
            </w:pPr>
            <w:r>
              <w:rPr/>
              <w:t>Business-Government Relations Council – 1997-2000</w:t>
            </w:r>
          </w:p>
          <w:p>
            <w:pPr>
              <w:pStyle w:val="BodyText"/>
              <w:spacing w:lineRule="auto" w:line="240"/>
              <w:rPr/>
            </w:pPr>
            <w:r>
              <w:rPr/>
              <w:t>Public Relations Council – 1996-2000</w:t>
            </w:r>
          </w:p>
          <w:p>
            <w:pPr>
              <w:pStyle w:val="BodyText"/>
              <w:spacing w:lineRule="auto" w:line="240"/>
              <w:rPr/>
            </w:pPr>
            <w:r>
              <w:rPr/>
              <w:t>Carlton Club 1998-2000</w:t>
            </w:r>
          </w:p>
          <w:p>
            <w:pPr>
              <w:pStyle w:val="BodyText"/>
              <w:spacing w:lineRule="auto" w:line="240"/>
              <w:rPr/>
            </w:pPr>
            <w:r>
              <w:rPr/>
              <w:t>Appointed by President Ronald Reagan to National Advisory Board for Conservation and Extension Service, Department of Energy – 1988-1992</w:t>
            </w:r>
          </w:p>
          <w:p>
            <w:pPr>
              <w:pStyle w:val="BodyText"/>
              <w:spacing w:lineRule="auto" w:line="240" w:before="0" w:after="220"/>
              <w:rPr/>
            </w:pPr>
            <w:r>
              <w:rPr/>
              <w:t>Appointed by Secretary of Energy to Advisory Committee of Federal Assistance for Alternative Fuels Demonstration Projects – 1982-87</w:t>
            </w:r>
          </w:p>
        </w:tc>
      </w:tr>
      <w:tr>
        <w:trPr/>
        <w:tc>
          <w:tcPr>
            <w:tcW w:w="2160" w:type="dxa"/>
            <w:tcBorders/>
          </w:tcPr>
          <w:p>
            <w:pPr>
              <w:pStyle w:val="SectionTitle"/>
              <w:spacing w:lineRule="atLeast" w:line="220" w:before="220" w:after="0"/>
              <w:rPr/>
            </w:pPr>
            <w:r>
              <w:rPr/>
              <w:t>Personal Data</w:t>
            </w:r>
          </w:p>
        </w:tc>
        <w:tc>
          <w:tcPr>
            <w:tcW w:w="6667" w:type="dxa"/>
            <w:tcBorders/>
          </w:tcPr>
          <w:p>
            <w:pPr>
              <w:pStyle w:val="Achievement"/>
              <w:numPr>
                <w:ilvl w:val="0"/>
                <w:numId w:val="0"/>
              </w:numPr>
              <w:snapToGrid w:val="false"/>
              <w:ind w:hanging="0" w:start="0"/>
              <w:rPr/>
            </w:pPr>
            <w:r>
              <w:rPr/>
            </w:r>
          </w:p>
          <w:p>
            <w:pPr>
              <w:pStyle w:val="Achievement"/>
              <w:numPr>
                <w:ilvl w:val="0"/>
                <w:numId w:val="0"/>
              </w:numPr>
              <w:spacing w:before="0" w:after="60"/>
              <w:ind w:hanging="0" w:start="0"/>
              <w:rPr/>
            </w:pPr>
            <w:r>
              <w:rPr/>
              <w:t>Lawyer, married with one son.</w:t>
            </w:r>
          </w:p>
        </w:tc>
      </w:tr>
      <w:tr>
        <w:trPr/>
        <w:tc>
          <w:tcPr>
            <w:tcW w:w="2160" w:type="dxa"/>
            <w:tcBorders/>
          </w:tcPr>
          <w:p>
            <w:pPr>
              <w:pStyle w:val="SectionTitle"/>
              <w:spacing w:lineRule="atLeast" w:line="220" w:before="220" w:after="0"/>
              <w:rPr/>
            </w:pPr>
            <w:r>
              <w:rPr/>
              <w:t>References</w:t>
            </w:r>
          </w:p>
        </w:tc>
        <w:tc>
          <w:tcPr>
            <w:tcW w:w="6667" w:type="dxa"/>
            <w:tcBorders/>
          </w:tcPr>
          <w:p>
            <w:pPr>
              <w:pStyle w:val="Objective"/>
              <w:spacing w:lineRule="atLeast" w:line="220" w:before="240" w:after="220"/>
              <w:rPr/>
            </w:pPr>
            <w:r>
              <w:rPr/>
              <w:t>Kenneth Lay, Chairman and CEO, Enron Corporation</w:t>
            </w:r>
          </w:p>
          <w:p>
            <w:pPr>
              <w:pStyle w:val="BodyText"/>
              <w:rPr/>
            </w:pPr>
            <w:r>
              <w:rPr/>
              <w:t>Richard Kinder, Chairman and CEO, Kinder-Morgan Corporation</w:t>
            </w:r>
          </w:p>
          <w:p>
            <w:pPr>
              <w:pStyle w:val="BodyText"/>
              <w:spacing w:lineRule="atLeast" w:line="220" w:before="0" w:after="220"/>
              <w:jc w:val="both"/>
              <w:rPr/>
            </w:pPr>
            <w:r>
              <w:rPr/>
              <w:t>David Boren, President, University of Oklahoma, former United States Senator.</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2"/>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sz w:val="22"/>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Wizard.wiz</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2000-08-30T16:34:00Z</dcterms:created>
  <dc:creator>El Paso Energy</dc:creator>
  <dc:description/>
  <dc:language>en-CA</dc:language>
  <cp:lastModifiedBy>El Paso Energy</cp:lastModifiedBy>
  <cp:lastPrinted>2000-08-30T15:09:00Z</cp:lastPrinted>
  <dcterms:modified xsi:type="dcterms:W3CDTF">2000-08-30T17:00:00Z</dcterms:modified>
  <cp:revision>4</cp:revision>
  <dc:subject/>
  <dc:title>Resume</dc:title>
</cp:coreProperties>
</file>