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480"/>
        <w:ind w:hanging="540" w:start="540" w:end="-180"/>
        <w:rPr/>
      </w:pPr>
      <w:r>
        <w:rPr/>
        <w:tab/>
        <w:t xml:space="preserve">economic or uneconomic to make more widgets.  Tiered rates would interfere with this market mechanism. Producers would make widgets with tier 1 power even if the value of that electricity on the market is much higher, dictating that widgets shouldn't be produced.  As witness Parmesano herself notes, "Since this price is below the cost of supplying the additional energy, resources must be used to supply the additional energy that could have provided more value if used for some other purpose." (DS/AL-02 p.5]  In fact, given the current vast difference between the two tiers that today's power prices would dictate, society would be much better off with embedded cost pricing.  Unless the </w:t>
      </w:r>
      <w:r>
        <w:rPr>
          <w:u w:val="single"/>
        </w:rPr>
        <w:t>entire load</w:t>
      </w:r>
      <w:r>
        <w:rPr/>
        <w:t xml:space="preserve"> of commercial and industrial customers faces the marginal cost, tiered rates can provide an even worse price signal than melded rates.  Tiered rates give industrial customers the right price signal for </w:t>
      </w:r>
      <w:r>
        <w:rPr>
          <w:u w:val="single"/>
        </w:rPr>
        <w:t>increases</w:t>
      </w:r>
      <w:r>
        <w:rPr/>
        <w:t xml:space="preserve"> in usage, but there is simply no way to design them to give them the right signal for </w:t>
      </w:r>
      <w:r>
        <w:rPr>
          <w:u w:val="single"/>
        </w:rPr>
        <w:t>reductions</w:t>
      </w:r>
      <w:r>
        <w:rPr/>
        <w:t xml:space="preserve"> in usage.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480"/>
        <w:ind w:hanging="540" w:start="540" w:end="-180"/>
        <w:rPr>
          <w:i/>
          <w:i/>
        </w:rPr>
      </w:pPr>
      <w:r>
        <w:rPr>
          <w:i/>
        </w:rPr>
        <w:t>Q.</w:t>
        <w:tab/>
        <w:t>Can you please give an example?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480"/>
        <w:ind w:hanging="540" w:start="540" w:end="-180"/>
        <w:rPr/>
      </w:pPr>
      <w:r>
        <w:rPr/>
        <w:t>A.</w:t>
        <w:tab/>
        <w:t>Yes.  Assume that the aluminum market is competitive and that a smelter can only operate profitably with electricity below 30 mills/kwh.  Society, through markets, is therefore giving this plant a signal that when power is more expensive than 30 mills, it should be used to produce something more in demand than aluminum.  Now suppose that under the proposed tiered rate scheme, this plant could get some power at below 30 mills and some much higher, but if melded the rate would be above 30.  Economic efficiency would say the smelter should not run at all, but tiered rates would cause the plant to run, though at a reduced level.  Thus the proposal leads to an uneconomic outcome when the marginal price of power is above 30 mills.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480"/>
        <w:ind w:hanging="540" w:start="540" w:end="-180"/>
        <w:rPr>
          <w:i/>
          <w:i/>
        </w:rPr>
      </w:pPr>
      <w:r>
        <w:rPr>
          <w:i/>
        </w:rPr>
        <w:t>Q.</w:t>
        <w:tab/>
        <w:t>How does the DSI witness address this concern?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480"/>
        <w:ind w:hanging="540" w:start="540" w:end="-180"/>
        <w:rPr/>
      </w:pPr>
      <w:r>
        <w:rPr/>
        <w:t>A.</w:t>
        <w:tab/>
        <w:t xml:space="preserve">Ms. Parmesano admits that her clients' proposal, "…permits all consumers to have an efficient price signal for marginal consumption decisions </w:t>
      </w:r>
      <w:r>
        <w:rPr>
          <w:b/>
        </w:rPr>
        <w:t xml:space="preserve">as long as they are still buying some energy in the top tier."  </w:t>
      </w:r>
      <w:r>
        <w:rPr/>
        <w:t xml:space="preserve">However, she continues:  "It is true that the Companies are likely to purchase no energy in the high-cost second tier until market prices for electricity decrease.  Once they curtail their loads to this point they will see the efficient price for increases in usage, </w:t>
      </w:r>
      <w:r>
        <w:rPr>
          <w:b/>
        </w:rPr>
        <w:t xml:space="preserve">but the lower [tier 1] price for additional reductions." </w:t>
      </w:r>
      <w:r>
        <w:rPr/>
        <w:t>(DS/AL-02 p. 11 emphasis added)</w:t>
      </w:r>
      <w:r>
        <w:rPr>
          <w:b/>
        </w:rPr>
        <w:t xml:space="preserve">  </w:t>
      </w:r>
      <w:r>
        <w:rPr/>
        <w:t>Thus the DSIs will face drastically incorrect prices for about three-quarters of their subscription load--around 1150 MWs.  BPA's present melded proposal, while not as accurate as full marginal pricing, delivers a much more accurate price message to these companies.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480"/>
        <w:ind w:hanging="540" w:start="540" w:end="-180"/>
        <w:rPr/>
      </w:pPr>
      <w:r>
        <w:rPr/>
        <w:tab/>
        <w:tab/>
        <w:t xml:space="preserve">I believe the DSIs' argument (when applied to industrial loads) for economic efficiency is just window-dressing for her real argument, that her clients' industries are so important to the regional economy that other ratepayers should subsidize them until prices come down--which she assumes will occur fairly quickly.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480"/>
        <w:ind w:hanging="540" w:start="540" w:end="-180"/>
        <w:rPr>
          <w:i/>
          <w:i/>
        </w:rPr>
      </w:pPr>
      <w:r>
        <w:rPr>
          <w:i/>
        </w:rPr>
        <w:t>Q.</w:t>
        <w:tab/>
        <w:t>Is her argument persuasive for allocating the DSIs 1150MWs of the low-cost supply?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480"/>
        <w:ind w:hanging="540" w:start="540" w:end="-180"/>
        <w:rPr/>
      </w:pPr>
      <w:r>
        <w:rPr/>
        <w:t>A.</w:t>
        <w:tab/>
        <w:t>No.  It is only a series of "implications that should be considered," not evidence.  The DSIs imply that under BPA's proposal, "long-term dislocations…might result," and "could delay [the DSIs'] recovery" and "have a negative effect on the regional economy."  They further state that, "There may be reasons to keep some or all of these businesses in the Pacific Northwest (or even in the US) that surpass the benefits from taking power they would otherwise use to keep electricity priced below cost to other consumers." (DS/AL-02 p.11-12)  But Parmesano gives no evidence to support that her clients' needs outweigh the cost of the economic inefficiency inherent in her proposal, nor the economic dislocations it would cause for other BPA customers.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480"/>
        <w:ind w:hanging="540" w:start="540" w:end="-180"/>
        <w:rPr>
          <w:i/>
          <w:i/>
        </w:rPr>
      </w:pPr>
      <w:r>
        <w:rPr>
          <w:i/>
        </w:rPr>
        <w:t>Q.</w:t>
        <w:tab/>
        <w:t>Could you estimate those costs?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540" w:start="540" w:end="-180"/>
        <w:rPr>
          <w:i/>
          <w:i/>
        </w:rPr>
      </w:pPr>
      <w:r>
        <w:rPr>
          <w:i/>
        </w:rPr>
      </w:r>
    </w:p>
    <w:p>
      <w:pPr>
        <w:pStyle w:val="Normal"/>
        <w:spacing w:lineRule="auto" w:line="240"/>
        <w:ind w:hanging="540" w:start="540" w:end="-180"/>
        <w:jc w:val="center"/>
        <w:rPr/>
      </w:pPr>
      <w:r>
        <w:rPr/>
        <w:t>A.</w:t>
        <w:tab/>
        <w:t xml:space="preserve">BPA is estimating the price of power to be $60-70/MWh over the five-year rate period.  It's uneconomic to smelt aluminum with power costing any more than half </w:t>
      </w:r>
    </w:p>
    <w:sectPr>
      <w:footerReference w:type="default" r:id="rId2"/>
      <w:type w:val="nextPage"/>
      <w:pgSz w:w="12240" w:h="15840"/>
      <w:pgMar w:left="1800" w:right="1800" w:gutter="0" w:header="0" w:top="1440" w:footer="720" w:bottom="1728"/>
      <w:lnNumType w:countBy="1" w:restart="newPage"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both"/>
      <w:rPr/>
    </w:pPr>
    <w:r>
      <w:rPr>
        <w:b/>
      </w:rPr>
      <w:t>Page 3</w:t>
    </w:r>
    <w:r>
      <w:rPr>
        <w:rStyle w:val="PageNumber"/>
        <w:b/>
      </w:rPr>
      <w:t xml:space="preserve">  --  Phase II </w:t>
    </w:r>
    <w:r>
      <w:rPr>
        <w:b/>
      </w:rPr>
      <w:t xml:space="preserve">Rebuttal Testimony of NWEC/SOS </w:t>
      <w:tab/>
      <w:t>WP-02-E-NA/SA-04</w: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4"/>
      <w:szCs w:val="20"/>
      <w:lang w:val="en-US" w:eastAsia="zh-CN" w:bidi="hi-IN"/>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spacing w:lineRule="atLeast" w:line="240"/>
    </w:pPr>
    <w:rPr>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Times New Roman" w:hAnsi="Times New Roman" w:cs="Times New Roma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2001-04-02T13:28:00Z</dcterms:created>
  <dc:creator>Steve Weiss - NWEC</dc:creator>
  <dc:description/>
  <dc:language>en-CA</dc:language>
  <cp:lastModifiedBy>Steve Weiss - NWEC</cp:lastModifiedBy>
  <cp:lastPrinted>2001-03-27T09:53:00Z</cp:lastPrinted>
  <dcterms:modified xsi:type="dcterms:W3CDTF">2001-04-02T13:36:00Z</dcterms:modified>
  <cp:revision>3</cp:revision>
  <dc:subject/>
  <dc:title>UNITED STATES OF AMERICA</dc:title>
</cp:coreProperties>
</file>