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t>Enron North America Corp.</w:t>
            </w:r>
          </w:p>
          <w:p>
            <w:pPr>
              <w:pStyle w:val="Normal"/>
              <w:tabs>
                <w:tab w:val="clear" w:pos="720"/>
                <w:tab w:val="left" w:pos="2412" w:leader="none"/>
              </w:tabs>
              <w:ind w:start="1962" w:end="0"/>
              <w:rPr>
                <w:i/>
                <w:i/>
                <w:sz w:val="22"/>
              </w:rPr>
            </w:pPr>
            <w:r>
              <w:rPr>
                <w:i/>
                <w:sz w:val="22"/>
              </w:rPr>
              <w:t>P.O. Box 4428</w:t>
            </w:r>
          </w:p>
          <w:p>
            <w:pPr>
              <w:pStyle w:val="Normal"/>
              <w:tabs>
                <w:tab w:val="clear" w:pos="720"/>
                <w:tab w:val="left" w:pos="2412" w:leader="none"/>
              </w:tabs>
              <w:ind w:start="1962" w:end="0"/>
              <w:rPr>
                <w:i/>
                <w:i/>
                <w:sz w:val="22"/>
              </w:rPr>
            </w:pPr>
            <w:r>
              <w:rPr>
                <w:i/>
                <w:sz w:val="22"/>
              </w:rPr>
              <w:t>Houston, TX  77210-4428</w:t>
            </w:r>
          </w:p>
          <w:p>
            <w:pPr>
              <w:pStyle w:val="Normal"/>
              <w:tabs>
                <w:tab w:val="clear" w:pos="720"/>
                <w:tab w:val="left" w:pos="2412" w:leader="none"/>
              </w:tabs>
              <w:ind w:start="1962" w:end="0"/>
              <w:rPr>
                <w:i/>
                <w:i/>
                <w:sz w:val="22"/>
              </w:rPr>
            </w:pPr>
            <w:r>
              <w:rPr>
                <w:i/>
                <w:sz w:val="22"/>
              </w:rPr>
              <w:t>(713) 853-3300</w:t>
            </w:r>
          </w:p>
          <w:p>
            <w:pPr>
              <w:pStyle w:val="Normal"/>
              <w:tabs>
                <w:tab w:val="clear" w:pos="720"/>
                <w:tab w:val="left" w:pos="2412" w:leader="none"/>
              </w:tabs>
              <w:ind w:start="1962" w:end="0"/>
              <w:rPr>
                <w:i/>
                <w:i/>
                <w:sz w:val="22"/>
              </w:rPr>
            </w:pPr>
            <w:r>
              <w:rPr>
                <w:i/>
                <w:sz w:val="22"/>
              </w:rPr>
              <w:t xml:space="preserve">Fax (713) 646-4618 </w:t>
            </w:r>
          </w:p>
          <w:p>
            <w:pPr>
              <w:pStyle w:val="Normal"/>
              <w:tabs>
                <w:tab w:val="clear" w:pos="720"/>
                <w:tab w:val="left" w:pos="2412" w:leader="none"/>
              </w:tabs>
              <w:ind w:start="1962" w:end="0"/>
              <w:rPr>
                <w:i/>
                <w:i/>
                <w:sz w:val="22"/>
              </w:rPr>
            </w:pPr>
            <w:r>
              <w:rPr>
                <w:i/>
                <w:sz w:val="22"/>
              </w:rPr>
            </w:r>
          </w:p>
        </w:tc>
      </w:tr>
    </w:tbl>
    <w:p>
      <w:pPr>
        <w:pStyle w:val="Normal"/>
        <w:rPr>
          <w:sz w:val="22"/>
        </w:rPr>
      </w:pPr>
      <w:r>
        <w:rPr>
          <w:sz w:val="22"/>
        </w:rPr>
      </w:r>
    </w:p>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t>[                     ]</w:t>
      </w:r>
    </w:p>
    <w:p>
      <w:pPr>
        <w:pStyle w:val="Normal"/>
        <w:rPr>
          <w:sz w:val="22"/>
        </w:rPr>
      </w:pPr>
      <w:r>
        <w:rPr>
          <w:sz w:val="22"/>
        </w:rPr>
        <w:t>To:</w:t>
        <w:tab/>
        <w:tab/>
        <w:t>NUI Energy Brokers, Inc. ("Party B")</w:t>
      </w:r>
    </w:p>
    <w:p>
      <w:pPr>
        <w:pStyle w:val="Normal"/>
        <w:rPr>
          <w:sz w:val="22"/>
        </w:rPr>
      </w:pPr>
      <w:r>
        <w:rPr>
          <w:sz w:val="22"/>
        </w:rPr>
        <w:t>Attention:</w:t>
        <w:tab/>
        <w:t>Document Department</w:t>
      </w:r>
    </w:p>
    <w:p>
      <w:pPr>
        <w:pStyle w:val="Normal"/>
        <w:rPr>
          <w:sz w:val="22"/>
        </w:rPr>
      </w:pPr>
      <w:r>
        <w:rPr>
          <w:sz w:val="22"/>
        </w:rPr>
        <w:t>Fax No.:</w:t>
        <w:tab/>
        <w:t>908-719-0944</w:t>
      </w:r>
    </w:p>
    <w:p>
      <w:pPr>
        <w:pStyle w:val="Normal"/>
        <w:rPr>
          <w:sz w:val="22"/>
        </w:rPr>
      </w:pPr>
      <w:r>
        <w:rPr>
          <w:sz w:val="22"/>
        </w:rPr>
        <w:t>From:</w:t>
        <w:tab/>
        <w:tab/>
        <w:t>Enron North America Corp. ("Party A")</w:t>
      </w:r>
    </w:p>
    <w:p>
      <w:pPr>
        <w:pStyle w:val="Normal"/>
        <w:rPr>
          <w:sz w:val="22"/>
        </w:rPr>
      </w:pPr>
      <w:r>
        <w:rPr>
          <w:sz w:val="22"/>
        </w:rPr>
        <w:t>Re:</w:t>
        <w:tab/>
        <w:tab/>
        <w:t>Commodity Swap [             ]</w:t>
      </w:r>
    </w:p>
    <w:p>
      <w:pPr>
        <w:pStyle w:val="Normal"/>
        <w:rPr>
          <w:sz w:val="22"/>
        </w:rPr>
      </w:pPr>
      <w:r>
        <w:rPr>
          <w:sz w:val="22"/>
        </w:rPr>
      </w:r>
    </w:p>
    <w:p>
      <w:pPr>
        <w:pStyle w:val="Normal"/>
        <w:rPr>
          <w:sz w:val="22"/>
        </w:rPr>
      </w:pPr>
      <w:r>
        <w:rPr>
          <w:sz w:val="22"/>
        </w:rPr>
      </w:r>
    </w:p>
    <w:p>
      <w:pPr>
        <w:pStyle w:val="BodyText"/>
        <w:rPr/>
      </w:pPr>
      <w:r>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BodyText"/>
        <w:rPr/>
      </w:pPr>
      <w:r>
        <w:rPr/>
        <w:tab/>
        <w:t>1.  This Confirmation supplements, forms part of, and is subject to, the ISDA Master Agreement dated as of March 27, 1998,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rPr>
                <w:i/>
                <w:i/>
                <w:sz w:val="22"/>
              </w:rPr>
            </w:pPr>
            <w:r>
              <w:rPr>
                <w:sz w:val="22"/>
              </w:rPr>
              <w:t>10,000</w:t>
            </w:r>
            <w:r>
              <w:rPr>
                <w:i/>
                <w:sz w:val="22"/>
              </w:rPr>
              <w:t xml:space="preserve"> </w:t>
            </w:r>
            <w:r>
              <w:rPr>
                <w:sz w:val="22"/>
              </w:rPr>
              <w:t>MMBtu multiplied by the number of days in the relevant Calculation Period</w:t>
            </w:r>
          </w:p>
        </w:tc>
      </w:tr>
    </w:tbl>
    <w:p>
      <w:pPr>
        <w:pStyle w:val="Normal"/>
        <w:rPr>
          <w:sz w:val="22"/>
        </w:rPr>
      </w:pPr>
      <w:r>
        <w:rPr>
          <w:sz w:val="22"/>
        </w:rPr>
      </w:r>
    </w:p>
    <w:p>
      <w:pPr>
        <w:pStyle w:val="Normal"/>
        <w:ind w:firstLine="720" w:end="0"/>
        <w:rPr>
          <w:sz w:val="22"/>
        </w:rPr>
      </w:pPr>
      <w:r>
        <w:rPr>
          <w:sz w:val="22"/>
        </w:rPr>
        <w:t>Commodity:</w:t>
        <w:tab/>
        <w:tab/>
        <w:tab/>
        <w:tab/>
        <w:t>Natural Gas</w:t>
      </w:r>
    </w:p>
    <w:p>
      <w:pPr>
        <w:pStyle w:val="Normal"/>
        <w:rPr>
          <w:sz w:val="22"/>
        </w:rPr>
      </w:pPr>
      <w:r>
        <w:rPr>
          <w:sz w:val="22"/>
        </w:rPr>
      </w:r>
    </w:p>
    <w:p>
      <w:pPr>
        <w:pStyle w:val="Normal"/>
        <w:ind w:firstLine="720" w:end="0"/>
        <w:rPr>
          <w:sz w:val="22"/>
        </w:rPr>
      </w:pPr>
      <w:r>
        <w:rPr>
          <w:sz w:val="22"/>
        </w:rPr>
        <w:t>Commodity Unit:</w:t>
        <w:tab/>
        <w:tab/>
        <w:tab/>
        <w:t>MMBtu (One Million British Thermal Units)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Trade Date:</w:t>
            </w:r>
          </w:p>
        </w:tc>
        <w:tc>
          <w:tcPr>
            <w:tcW w:w="6102" w:type="dxa"/>
            <w:tcBorders/>
          </w:tcPr>
          <w:p>
            <w:pPr>
              <w:pStyle w:val="Normal"/>
              <w:rPr>
                <w:sz w:val="22"/>
              </w:rPr>
            </w:pPr>
            <w:r>
              <w:rPr>
                <w:sz w:val="22"/>
              </w:rPr>
              <w:t>[               ]</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t>April 01, 2001</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198"/>
              <w:jc w:val="both"/>
              <w:rPr>
                <w:sz w:val="22"/>
              </w:rPr>
            </w:pPr>
            <w:r>
              <w:rPr>
                <w:sz w:val="22"/>
              </w:rPr>
              <w:t>Termination Date:</w:t>
            </w:r>
          </w:p>
        </w:tc>
        <w:tc>
          <w:tcPr>
            <w:tcW w:w="6102" w:type="dxa"/>
            <w:tcBorders/>
          </w:tcPr>
          <w:p>
            <w:pPr>
              <w:pStyle w:val="Normal"/>
              <w:ind w:start="-18" w:end="0"/>
              <w:jc w:val="both"/>
              <w:rPr>
                <w:sz w:val="22"/>
              </w:rPr>
            </w:pPr>
            <w:r>
              <w:rPr>
                <w:sz w:val="22"/>
              </w:rPr>
              <w:t>October 01, 2001</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jc w:val="both"/>
              <w:rPr>
                <w:sz w:val="22"/>
              </w:rPr>
            </w:pPr>
            <w:r>
              <w:rPr>
                <w:sz w:val="22"/>
              </w:rPr>
              <w:fldChar w:fldCharType="begin"/>
            </w:r>
            <w:r>
              <w:rPr>
                <w:sz w:val="22"/>
              </w:rPr>
              <w:instrText xml:space="preserve"> MERGEFIELD DeterminationPeriod </w:instrText>
            </w:r>
            <w:r>
              <w:rPr>
                <w:sz w:val="22"/>
              </w:rPr>
              <w:fldChar w:fldCharType="separate"/>
            </w:r>
            <w:r>
              <w:rPr>
                <w:sz w:val="22"/>
              </w:rPr>
              <w:t>Each calendar month beginning with April 01, 2001 and ending on October 01, 2001</w:t>
            </w:r>
            <w:r>
              <w:rPr>
                <w:sz w:val="22"/>
              </w:rPr>
              <w:fldChar w:fldCharType="end"/>
            </w:r>
            <w:r>
              <w:rPr>
                <w:sz w:val="22"/>
              </w:rPr>
              <w:t xml:space="preserve"> </w:t>
            </w:r>
            <w:r>
              <w:rPr>
                <w:sz w:val="22"/>
              </w:rPr>
              <w:fldChar w:fldCharType="begin"/>
            </w:r>
            <w:r>
              <w:rPr>
                <w:sz w:val="22"/>
              </w:rPr>
              <w:instrText xml:space="preserve"> MERGEFIELD HolidayExclusion </w:instrText>
            </w:r>
            <w:r>
              <w:rPr>
                <w:sz w:val="22"/>
              </w:rPr>
              <w:fldChar w:fldCharType="separate"/>
            </w:r>
            <w:r>
              <w:rPr>
                <w:sz w:val="22"/>
              </w:rPr>
              <w:t xml:space="preserve"> </w:t>
            </w:r>
            <w:r>
              <w:rPr>
                <w:sz w:val="22"/>
              </w:rPr>
              <w:fldChar w:fldCharType="end"/>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succeeding the last Pricing Date for the applicable Calculation Period</w:t>
            </w:r>
            <w:r>
              <w:rPr>
                <w:sz w:val="22"/>
              </w:rPr>
              <w:fldChar w:fldCharType="end"/>
            </w:r>
          </w:p>
        </w:tc>
      </w:tr>
    </w:tbl>
    <w:p>
      <w:pPr>
        <w:pStyle w:val="Normal"/>
        <w:rPr>
          <w:sz w:val="22"/>
        </w:rPr>
      </w:pPr>
      <w:r>
        <w:rPr>
          <w:sz w:val="22"/>
        </w:rPr>
      </w:r>
    </w:p>
    <w:p>
      <w:pPr>
        <w:pStyle w:val="Normal"/>
        <w:rPr/>
      </w:pPr>
      <w:r>
        <w:rPr>
          <w:b/>
          <w:sz w:val="22"/>
        </w:rPr>
        <w:t>Fixed Amount Details:</w:t>
      </w:r>
      <w:r>
        <w:rPr>
          <w:sz w:val="22"/>
        </w:rPr>
        <w:tab/>
        <w:tab/>
        <w:tab/>
      </w:r>
    </w:p>
    <w:p>
      <w:pPr>
        <w:pStyle w:val="Normal"/>
        <w:rPr>
          <w:sz w:val="22"/>
        </w:rPr>
      </w:pPr>
      <w:r>
        <w:rPr>
          <w:sz w:val="22"/>
        </w:rPr>
      </w:r>
    </w:p>
    <w:p>
      <w:pPr>
        <w:pStyle w:val="Normal"/>
        <w:ind w:firstLine="720" w:end="0"/>
        <w:rPr>
          <w:i/>
          <w:i/>
          <w:sz w:val="22"/>
        </w:rPr>
      </w:pPr>
      <w:r>
        <w:rPr>
          <w:sz w:val="22"/>
        </w:rPr>
        <w:t xml:space="preserve">Fixed Price Payer: </w:t>
        <w:tab/>
        <w:tab/>
        <w:tab/>
        <w:t>Party A</w:t>
      </w:r>
    </w:p>
    <w:p>
      <w:pPr>
        <w:pStyle w:val="Normal"/>
        <w:ind w:firstLine="720" w:end="0"/>
        <w:rPr>
          <w:i/>
          <w:i/>
          <w:sz w:val="22"/>
        </w:rPr>
      </w:pPr>
      <w:r>
        <w:rPr>
          <w:i/>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t>US $5.45200 per MMBtu</w:t>
            </w:r>
          </w:p>
        </w:tc>
      </w:tr>
    </w:tbl>
    <w:p>
      <w:pPr>
        <w:pStyle w:val="Normal"/>
        <w:rPr>
          <w:sz w:val="22"/>
        </w:rPr>
      </w:pPr>
      <w:r>
        <w:rPr>
          <w:sz w:val="22"/>
        </w:rPr>
      </w:r>
    </w:p>
    <w:p>
      <w:pPr>
        <w:pStyle w:val="Normal"/>
        <w:rPr/>
      </w:pPr>
      <w:r>
        <w:rPr>
          <w:b/>
          <w:sz w:val="22"/>
        </w:rPr>
        <w:t>Floating Amount Details:</w:t>
      </w:r>
      <w:r>
        <w:rPr>
          <w:sz w:val="22"/>
        </w:rPr>
        <w:tab/>
        <w:tab/>
        <w:tab/>
      </w:r>
    </w:p>
    <w:p>
      <w:pPr>
        <w:pStyle w:val="Normal"/>
        <w:rPr>
          <w:sz w:val="22"/>
        </w:rPr>
      </w:pPr>
      <w:r>
        <w:rPr>
          <w:sz w:val="22"/>
        </w:rPr>
      </w:r>
    </w:p>
    <w:p>
      <w:pPr>
        <w:pStyle w:val="Normal"/>
        <w:ind w:firstLine="720" w:end="0"/>
        <w:rPr>
          <w:i/>
          <w:i/>
          <w:sz w:val="22"/>
        </w:rPr>
      </w:pPr>
      <w:r>
        <w:rPr>
          <w:sz w:val="22"/>
        </w:rPr>
        <w:t xml:space="preserve">Floating Price Payer: </w:t>
        <w:tab/>
        <w:tab/>
        <w:tab/>
        <w:t>Party B</w:t>
      </w:r>
    </w:p>
    <w:p>
      <w:pPr>
        <w:pStyle w:val="Normal"/>
        <w:rPr>
          <w:i/>
          <w:i/>
          <w:sz w:val="22"/>
        </w:rPr>
      </w:pPr>
      <w:r>
        <w:rPr>
          <w:i/>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Normal"/>
              <w:snapToGrid w:val="false"/>
              <w:jc w:val="both"/>
              <w:rPr>
                <w:sz w:val="22"/>
              </w:rPr>
            </w:pPr>
            <w:r>
              <w:rPr>
                <w:sz w:val="22"/>
              </w:rPr>
            </w:r>
          </w:p>
          <w:p>
            <w:pPr>
              <w:pStyle w:val="Normal"/>
              <w:jc w:val="both"/>
              <w:rPr>
                <w:sz w:val="22"/>
              </w:rPr>
            </w:pPr>
            <w:r>
              <w:rPr>
                <w:sz w:val="22"/>
              </w:rPr>
              <w:t>The Texas Eastern Transmission Corp. – East Louisiana Zone Index price for delivery during the applicable Calculation Period in the “Prices of Spot Gas Delivered to Pipelines” section located in the first issue of Inside F.E.R.C.’s Gas Market Report published during the applicable Calculation Period</w:t>
            </w:r>
          </w:p>
        </w:tc>
      </w:tr>
      <w:tr>
        <w:trPr/>
        <w:tc>
          <w:tcPr>
            <w:tcW w:w="4338" w:type="dxa"/>
            <w:tcBorders/>
          </w:tcPr>
          <w:p>
            <w:pPr>
              <w:pStyle w:val="Normal"/>
              <w:ind w:firstLine="720" w:end="0"/>
              <w:rPr>
                <w:sz w:val="22"/>
              </w:rPr>
            </w:pPr>
            <w:r>
              <w:rPr>
                <w:sz w:val="22"/>
              </w:rPr>
              <w:fldChar w:fldCharType="begin"/>
            </w:r>
            <w:r>
              <w:rPr>
                <w:sz w:val="22"/>
              </w:rPr>
              <w:instrText xml:space="preserve"> MERGEFIELD AlternatePriceLit </w:instrText>
            </w:r>
            <w:r>
              <w:rPr>
                <w:sz w:val="22"/>
              </w:rPr>
              <w:fldChar w:fldCharType="separate"/>
            </w:r>
            <w:r>
              <w:rPr>
                <w:sz w:val="22"/>
              </w:rPr>
              <w:t xml:space="preserve"> </w:t>
            </w:r>
            <w:r>
              <w:rPr>
                <w:sz w:val="22"/>
              </w:rPr>
              <w:fldChar w:fldCharType="end"/>
            </w:r>
          </w:p>
        </w:tc>
        <w:tc>
          <w:tcPr>
            <w:tcW w:w="6102" w:type="dxa"/>
            <w:tcBorders/>
          </w:tcPr>
          <w:p>
            <w:pPr>
              <w:pStyle w:val="Normal"/>
              <w:jc w:val="both"/>
              <w:rPr>
                <w:sz w:val="22"/>
              </w:rPr>
            </w:pPr>
            <w:r>
              <w:rPr>
                <w:sz w:val="22"/>
              </w:rPr>
              <w:fldChar w:fldCharType="begin"/>
            </w:r>
            <w:r>
              <w:rPr>
                <w:sz w:val="22"/>
              </w:rPr>
              <w:instrText xml:space="preserve"> MERGEFIELD AlternatePrice </w:instrText>
            </w:r>
            <w:r>
              <w:rPr>
                <w:sz w:val="22"/>
              </w:rPr>
              <w:fldChar w:fldCharType="separate"/>
            </w:r>
            <w:r>
              <w:rPr>
                <w:sz w:val="22"/>
              </w:rPr>
              <w:t xml:space="preserve"> </w:t>
            </w:r>
            <w:r>
              <w:rPr>
                <w:sz w:val="22"/>
              </w:rPr>
              <w:fldChar w:fldCharType="end"/>
            </w:r>
          </w:p>
        </w:tc>
      </w:tr>
      <w:tr>
        <w:trPr/>
        <w:tc>
          <w:tcPr>
            <w:tcW w:w="10440" w:type="dxa"/>
            <w:gridSpan w:val="2"/>
            <w:tcBorders/>
          </w:tcPr>
          <w:p>
            <w:pPr>
              <w:pStyle w:val="Normal"/>
              <w:tabs>
                <w:tab w:val="clear" w:pos="720"/>
                <w:tab w:val="left" w:pos="630" w:leader="none"/>
              </w:tabs>
              <w:jc w:val="both"/>
              <w:rPr>
                <w:sz w:val="22"/>
              </w:rPr>
            </w:pPr>
            <w:r>
              <w:rPr>
                <w:sz w:val="22"/>
              </w:rPr>
              <w:t xml:space="preserve">            </w:t>
            </w: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r>
        <w:trPr/>
        <w:tc>
          <w:tcPr>
            <w:tcW w:w="10440" w:type="dxa"/>
            <w:gridSpan w:val="2"/>
            <w:tcBorders/>
          </w:tcPr>
          <w:p>
            <w:pPr>
              <w:pStyle w:val="Normal"/>
              <w:tabs>
                <w:tab w:val="clear" w:pos="720"/>
                <w:tab w:val="left" w:pos="630" w:leader="none"/>
              </w:tabs>
              <w:snapToGrid w:val="false"/>
              <w:jc w:val="both"/>
              <w:rPr>
                <w:sz w:val="22"/>
              </w:rPr>
            </w:pPr>
            <w:r>
              <w:rPr>
                <w:sz w:val="22"/>
              </w:rPr>
            </w:r>
          </w:p>
        </w:tc>
      </w:tr>
    </w:tbl>
    <w:p>
      <w:pPr>
        <w:pStyle w:val="Normal"/>
        <w:jc w:val="both"/>
        <w:rPr>
          <w:sz w:val="22"/>
        </w:rPr>
      </w:pPr>
      <w:r>
        <w:rPr>
          <w:sz w:val="22"/>
        </w:rPr>
        <w:tab/>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rPr>
                <w:sz w:val="22"/>
              </w:rPr>
            </w:pPr>
            <w:r>
              <w:rPr>
                <w:sz w:val="22"/>
              </w:rPr>
              <w:t>Yours sincerely,</w:t>
            </w:r>
          </w:p>
          <w:p>
            <w:pPr>
              <w:pStyle w:val="Normal"/>
              <w:rPr>
                <w:sz w:val="22"/>
              </w:rPr>
            </w:pPr>
            <w:r>
              <w:rPr>
                <w:sz w:val="22"/>
              </w:rPr>
            </w:r>
          </w:p>
          <w:p>
            <w:pPr>
              <w:pStyle w:val="Normal"/>
              <w:rPr>
                <w:sz w:val="22"/>
              </w:rPr>
            </w:pPr>
            <w:r>
              <w:rPr>
                <w:sz w:val="22"/>
              </w:rPr>
            </w:r>
          </w:p>
          <w:p>
            <w:pPr>
              <w:pStyle w:val="Normal"/>
              <w:rPr>
                <w:sz w:val="22"/>
              </w:rPr>
            </w:pPr>
            <w:r>
              <w:rPr>
                <w:sz w:val="22"/>
              </w:rPr>
              <w:t>Enron North America Corp.</w:t>
            </w:r>
          </w:p>
          <w:p>
            <w:pPr>
              <w:pStyle w:val="Normal"/>
              <w:rPr>
                <w:sz w:val="22"/>
              </w:rPr>
            </w:pPr>
            <w:r>
              <w:rPr>
                <w:sz w:val="22"/>
              </w:rPr>
            </w:r>
          </w:p>
          <w:p>
            <w:pPr>
              <w:pStyle w:val="Normal"/>
              <w:rPr>
                <w:sz w:val="22"/>
              </w:rPr>
            </w:pPr>
            <w:r>
              <w:rPr>
                <w:sz w:val="22"/>
              </w:rPr>
            </w:r>
          </w:p>
          <w:p>
            <w:pPr>
              <w:pStyle w:val="Normal"/>
              <w:rPr>
                <w:sz w:val="22"/>
              </w:rPr>
            </w:pPr>
            <w:r>
              <w:rPr>
                <w:sz w:val="22"/>
              </w:rPr>
              <w:t>By: __________________________</w:t>
            </w:r>
          </w:p>
          <w:p>
            <w:pPr>
              <w:pStyle w:val="Normal"/>
              <w:rPr>
                <w:sz w:val="22"/>
              </w:rPr>
            </w:pPr>
            <w:r>
              <w:rPr>
                <w:sz w:val="22"/>
              </w:rPr>
              <w:t>Name:  _______________________</w:t>
            </w:r>
          </w:p>
          <w:p>
            <w:pPr>
              <w:pStyle w:val="Normal"/>
              <w:rPr>
                <w:sz w:val="22"/>
              </w:rPr>
            </w:pPr>
            <w:r>
              <w:rPr>
                <w:sz w:val="22"/>
              </w:rPr>
              <w:t>Title: _________________________</w:t>
            </w:r>
          </w:p>
        </w:tc>
        <w:tc>
          <w:tcPr>
            <w:tcW w:w="5292" w:type="dxa"/>
            <w:tcBorders/>
          </w:tcPr>
          <w:p>
            <w:pPr>
              <w:pStyle w:val="Normal"/>
              <w:rPr>
                <w:sz w:val="22"/>
              </w:rPr>
            </w:pPr>
            <w:r>
              <w:rPr>
                <w:sz w:val="22"/>
              </w:rPr>
              <w:t>Deal No. [            ]</w:t>
            </w:r>
          </w:p>
          <w:p>
            <w:pPr>
              <w:pStyle w:val="Normal"/>
              <w:rPr>
                <w:sz w:val="22"/>
              </w:rPr>
            </w:pPr>
            <w:r>
              <w:rPr>
                <w:sz w:val="22"/>
              </w:rPr>
              <w:t>Confirmed as of the date first above written:</w:t>
            </w:r>
          </w:p>
          <w:p>
            <w:pPr>
              <w:pStyle w:val="Normal"/>
              <w:rPr>
                <w:sz w:val="22"/>
              </w:rPr>
            </w:pPr>
            <w:r>
              <w:rPr>
                <w:sz w:val="22"/>
              </w:rPr>
            </w:r>
          </w:p>
          <w:p>
            <w:pPr>
              <w:pStyle w:val="Normal"/>
              <w:rPr>
                <w:sz w:val="22"/>
              </w:rPr>
            </w:pPr>
            <w:r>
              <w:rPr>
                <w:sz w:val="22"/>
              </w:rPr>
              <w:t>NUI Energy Brokers, Inc.</w:t>
            </w:r>
          </w:p>
          <w:p>
            <w:pPr>
              <w:pStyle w:val="Normal"/>
              <w:rPr>
                <w:sz w:val="22"/>
              </w:rPr>
            </w:pPr>
            <w:r>
              <w:rPr>
                <w:sz w:val="22"/>
              </w:rPr>
            </w:r>
          </w:p>
          <w:p>
            <w:pPr>
              <w:pStyle w:val="Normal"/>
              <w:rPr>
                <w:sz w:val="22"/>
              </w:rPr>
            </w:pPr>
            <w:r>
              <w:rPr>
                <w:sz w:val="22"/>
              </w:rPr>
            </w:r>
          </w:p>
          <w:p>
            <w:pPr>
              <w:pStyle w:val="Normal"/>
              <w:rPr/>
            </w:pPr>
            <w:r>
              <w:rPr>
                <w:sz w:val="22"/>
              </w:rPr>
              <w:t xml:space="preserve">By:  </w:t>
            </w:r>
            <w:r>
              <w:rPr>
                <w:sz w:val="22"/>
                <w:u w:val="single"/>
              </w:rPr>
              <w:tab/>
              <w:tab/>
              <w:tab/>
              <w:tab/>
              <w:tab/>
            </w:r>
            <w:r>
              <w:rPr>
                <w:sz w:val="22"/>
              </w:rPr>
              <w:tab/>
            </w:r>
          </w:p>
          <w:p>
            <w:pPr>
              <w:pStyle w:val="Normal"/>
              <w:rPr/>
            </w:pPr>
            <w:r>
              <w:rPr>
                <w:sz w:val="22"/>
              </w:rPr>
              <w:t xml:space="preserve">Name:  </w:t>
            </w:r>
            <w:r>
              <w:rPr>
                <w:sz w:val="22"/>
                <w:u w:val="single"/>
              </w:rPr>
              <w:tab/>
              <w:tab/>
              <w:tab/>
              <w:tab/>
              <w:tab/>
            </w:r>
          </w:p>
          <w:p>
            <w:pPr>
              <w:pStyle w:val="Normal"/>
              <w:rPr>
                <w:sz w:val="22"/>
              </w:rPr>
            </w:pPr>
            <w:r>
              <w:rPr>
                <w:sz w:val="22"/>
              </w:rPr>
              <w:t xml:space="preserve">Title:  </w:t>
            </w:r>
            <w:r>
              <w:rPr>
                <w:sz w:val="22"/>
                <w:u w:val="single"/>
              </w:rPr>
              <w:tab/>
              <w:tab/>
              <w:tab/>
              <w:tab/>
              <w:tab/>
            </w:r>
          </w:p>
        </w:tc>
      </w:tr>
    </w:tbl>
    <w:p>
      <w:pPr>
        <w:pStyle w:val="Normal"/>
        <w:rPr>
          <w:sz w:val="22"/>
        </w:rPr>
      </w:pPr>
      <w:r>
        <w:rPr>
          <w:sz w:val="22"/>
        </w:rPr>
      </w:r>
    </w:p>
    <w:p>
      <w:pPr>
        <w:pStyle w:val="Normal"/>
        <w:rPr>
          <w:sz w:val="22"/>
        </w:rPr>
      </w:pPr>
      <w:r>
        <w:rPr>
          <w:sz w:val="22"/>
        </w:rPr>
        <w:tab/>
        <w:tab/>
        <w:tab/>
        <w:tab/>
        <w:tab/>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ms Rmn" w:ascii="Tms Rmn" w:hAnsi="Tms Rmn"/>
        <w:color w:val="000000"/>
        <w:sz w:val="16"/>
        <w:lang w:eastAsia="en-US"/>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b/>
      </w:rPr>
      <w:t>DRAFT</w:t>
    </w:r>
    <w:r>
      <w:rPr/>
      <w:tab/>
    </w:r>
    <w:r>
      <w:rPr>
        <w:sz w:val="20"/>
      </w:rPr>
      <w:t>Deal No. [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color w:val="008000"/>
      <w:sz w:val="20"/>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2001-03-29T20:13:00Z</dcterms:created>
  <dc:creator>ECT</dc:creator>
  <dc:description/>
  <dc:language>en-CA</dc:language>
  <cp:lastModifiedBy>jhunte2</cp:lastModifiedBy>
  <cp:lastPrinted>2000-11-01T16:07:00Z</cp:lastPrinted>
  <dcterms:modified xsi:type="dcterms:W3CDTF">2001-03-29T20:13:00Z</dcterms:modified>
  <cp:revision>2</cp:revision>
  <dc:subject>Enron Capital &amp; Trade Resources International Corp.</dc:subject>
  <dc:title>N36759.1</dc:title>
</cp:coreProperties>
</file>