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NUI Utilities, Inc., a New Jersey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NUI Corp. shall have defaulted on its indebted</w:t>
        <w:softHyphen/>
        <w:t xml:space="preserve">ness to third parties, resulting in an acceleration of obligations of NUI Corp.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$3,000,000, then Company as the Beneficiary Party may request Customer to establish a Letter of Credit as the Account Party in an amount equal to the Termination Payment in excess of $3,000,000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NUI UTILTIES,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/mnt/main-storage/datasets/enron-docs/doc/NUIUtilities.doc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NUI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NUI Utilities, Inc.</w:t>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550 Route 202-206</w:t>
      </w:r>
    </w:p>
    <w:p>
      <w:pPr>
        <w:pStyle w:val="Normal"/>
        <w:jc w:val="both"/>
        <w:rPr>
          <w:rFonts w:ascii="Arial Narrow" w:hAnsi="Arial Narrow" w:cs="Arial Narrow"/>
          <w:sz w:val="18"/>
        </w:rPr>
      </w:pPr>
      <w:r>
        <w:rPr>
          <w:rFonts w:cs="Arial Narrow" w:ascii="Arial Narrow" w:hAnsi="Arial Narrow"/>
          <w:sz w:val="18"/>
        </w:rPr>
        <w:t>Bedminister, NJ 07921-0760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 xml:space="preserve">This Confirmation shall confirm the Transaction agreed to on ___________, _______ and binding between NUI Utilities,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NUI Utilities,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NUI Utilities, Inc., a New Jersey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NUI UTILITIES,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NUI Corp., a New Jersey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NUI Utilties, Inc., a wholly-owned 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NUI CORP.</w:t>
        <w:tab/>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2001-03-29T19:39:00Z</dcterms:created>
  <dc:creator>dperlin</dc:creator>
  <dc:description/>
  <dc:language>en-CA</dc:language>
  <cp:lastModifiedBy>sdickso</cp:lastModifiedBy>
  <cp:lastPrinted>2001-03-29T14:27:00Z</cp:lastPrinted>
  <dcterms:modified xsi:type="dcterms:W3CDTF">2001-03-29T19:50:00Z</dcterms:modified>
  <cp:revision>5</cp:revision>
  <dc:subject/>
  <dc:title>ENFOLIO® MASTER FIRM PURCHASE/SALE AGREEMENT</dc:title>
</cp:coreProperties>
</file>