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sz w:val="22"/>
        </w:rPr>
      </w:pPr>
      <w:r>
        <w:rPr>
          <w:sz w:val="22"/>
        </w:rPr>
        <w:t>March 29,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sz w:val="22"/>
        </w:rPr>
      </w:pPr>
      <w:r>
        <w:rPr>
          <w:sz w:val="22"/>
        </w:rPr>
        <w:t>Bedminister,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068"/>
        <w:gridCol w:w="540"/>
        <w:gridCol w:w="2520"/>
        <w:gridCol w:w="360"/>
        <w:gridCol w:w="1980"/>
      </w:tblGrid>
      <w:tr>
        <w:trPr/>
        <w:tc>
          <w:tcPr>
            <w:tcW w:w="406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sz w:val="22"/>
        </w:rPr>
      </w:pPr>
      <w:r>
        <w:rPr>
          <w:sz w:val="22"/>
        </w:rPr>
        <w:t>Period of Delivery:  April 1, 2001 through October 31, 2001</w:t>
      </w:r>
    </w:p>
    <w:p>
      <w:pPr>
        <w:pStyle w:val="Normal"/>
        <w:jc w:val="both"/>
        <w:rPr>
          <w:sz w:val="22"/>
        </w:rPr>
      </w:pPr>
      <w:r>
        <w:rPr>
          <w:sz w:val="22"/>
        </w:rPr>
      </w:r>
    </w:p>
    <w:p>
      <w:pPr>
        <w:pStyle w:val="BodyTextIndent"/>
        <w:rPr>
          <w:sz w:val="22"/>
        </w:rPr>
      </w:pPr>
      <w:r>
        <w:rPr>
          <w:sz w:val="22"/>
        </w:rPr>
        <w:t>Other Terms:</w:t>
        <w:tab/>
        <w:t>Notwithstanding anything to the contrary in the Agreement (defined below), NUI will pay ENA in five equal payments in the amount of $9,958,461 each payment on the following dates:  December 25, 2001, January 25, 2002, February 25, 2002, March 25, 2002, and April 25, 2002</w:t>
      </w:r>
    </w:p>
    <w:p>
      <w:pPr>
        <w:pStyle w:val="Normal"/>
        <w:ind w:end="-720"/>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18"/>
        </w:rPr>
      </w:pPr>
      <w:r>
        <w:rPr>
          <w:sz w:val="18"/>
        </w:rPr>
        <w:t>O:common\legal\sdickson\confirm\nui.doc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2001-03-29T18:06:00Z</dcterms:created>
  <dc:creator>sdickso</dc:creator>
  <dc:description/>
  <dc:language>en-CA</dc:language>
  <cp:lastModifiedBy>sdickso</cp:lastModifiedBy>
  <cp:lastPrinted>2001-03-29T15:06:00Z</cp:lastPrinted>
  <dcterms:modified xsi:type="dcterms:W3CDTF">2001-03-29T19:17:00Z</dcterms:modified>
  <cp:revision>6</cp:revision>
  <dc:subject/>
  <dc:title>DRAFT</dc:title>
</cp:coreProperties>
</file>