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28"/>
        </w:rPr>
      </w:pPr>
      <w:r>
        <w:rPr>
          <w:rFonts w:cs="Arial" w:ascii="Arial" w:hAnsi="Arial"/>
          <w:b/>
          <w:sz w:val="28"/>
        </w:rPr>
        <w:t>Enron Canada Corp.</w:t>
      </w:r>
    </w:p>
    <w:p>
      <w:pPr>
        <w:pStyle w:val="Normal"/>
        <w:jc w:val="center"/>
        <w:rPr>
          <w:rFonts w:ascii="Arial" w:hAnsi="Arial" w:cs="Arial"/>
          <w:b/>
          <w:sz w:val="28"/>
        </w:rPr>
      </w:pPr>
      <w:r>
        <w:rPr>
          <w:rFonts w:cs="Arial" w:ascii="Arial" w:hAnsi="Arial"/>
          <w:b/>
          <w:sz w:val="28"/>
        </w:rPr>
        <w:t>Interoffice Memorandum</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tbl>
      <w:tblPr>
        <w:tblW w:w="9265" w:type="dxa"/>
        <w:jc w:val="start"/>
        <w:tblInd w:w="0" w:type="dxa"/>
        <w:tblLayout w:type="fixed"/>
        <w:tblCellMar>
          <w:top w:w="0" w:type="dxa"/>
          <w:start w:w="108" w:type="dxa"/>
          <w:bottom w:w="0" w:type="dxa"/>
          <w:end w:w="108" w:type="dxa"/>
        </w:tblCellMar>
      </w:tblPr>
      <w:tblGrid>
        <w:gridCol w:w="1098"/>
        <w:gridCol w:w="4999"/>
        <w:gridCol w:w="1008"/>
        <w:gridCol w:w="2160"/>
      </w:tblGrid>
      <w:tr>
        <w:trPr/>
        <w:tc>
          <w:tcPr>
            <w:tcW w:w="1098" w:type="dxa"/>
            <w:tcBorders/>
          </w:tcPr>
          <w:p>
            <w:pPr>
              <w:pStyle w:val="Normal"/>
              <w:jc w:val="both"/>
              <w:rPr>
                <w:rFonts w:ascii="Arial" w:hAnsi="Arial" w:cs="Arial"/>
                <w:sz w:val="22"/>
              </w:rPr>
            </w:pPr>
            <w:r>
              <w:rPr>
                <w:rFonts w:cs="Arial" w:ascii="Arial" w:hAnsi="Arial"/>
                <w:sz w:val="22"/>
              </w:rPr>
              <w:t>To:</w:t>
            </w:r>
          </w:p>
        </w:tc>
        <w:tc>
          <w:tcPr>
            <w:tcW w:w="4999" w:type="dxa"/>
            <w:tcBorders/>
          </w:tcPr>
          <w:p>
            <w:pPr>
              <w:pStyle w:val="Normal"/>
              <w:jc w:val="both"/>
              <w:rPr>
                <w:rFonts w:ascii="Arial" w:hAnsi="Arial" w:cs="Arial"/>
                <w:sz w:val="22"/>
              </w:rPr>
            </w:pPr>
            <w:bookmarkStart w:id="0" w:name="to"/>
            <w:bookmarkEnd w:id="0"/>
            <w:r>
              <w:rPr>
                <w:rFonts w:cs="Arial" w:ascii="Arial" w:hAnsi="Arial"/>
                <w:sz w:val="22"/>
              </w:rPr>
              <w:t xml:space="preserve">Rob Milnthorp, </w:t>
            </w:r>
          </w:p>
        </w:tc>
        <w:tc>
          <w:tcPr>
            <w:tcW w:w="1008" w:type="dxa"/>
            <w:tcBorders/>
          </w:tcPr>
          <w:p>
            <w:pPr>
              <w:pStyle w:val="Normal"/>
              <w:snapToGrid w:val="false"/>
              <w:jc w:val="both"/>
              <w:rPr>
                <w:rFonts w:ascii="Arial" w:hAnsi="Arial" w:cs="Arial"/>
                <w:sz w:val="22"/>
              </w:rPr>
            </w:pPr>
            <w:r>
              <w:rPr>
                <w:rFonts w:cs="Arial" w:ascii="Arial" w:hAnsi="Arial"/>
                <w:sz w:val="22"/>
              </w:rPr>
            </w:r>
          </w:p>
        </w:tc>
        <w:tc>
          <w:tcPr>
            <w:tcW w:w="2160" w:type="dxa"/>
            <w:tcBorders/>
          </w:tcPr>
          <w:p>
            <w:pPr>
              <w:pStyle w:val="Normal"/>
              <w:snapToGrid w:val="false"/>
              <w:jc w:val="both"/>
              <w:rPr>
                <w:rFonts w:ascii="Arial" w:hAnsi="Arial" w:cs="Arial"/>
                <w:sz w:val="22"/>
              </w:rPr>
            </w:pPr>
            <w:r>
              <w:rPr>
                <w:rFonts w:cs="Arial" w:ascii="Arial" w:hAnsi="Arial"/>
                <w:sz w:val="22"/>
              </w:rPr>
            </w:r>
          </w:p>
        </w:tc>
      </w:tr>
      <w:tr>
        <w:trPr/>
        <w:tc>
          <w:tcPr>
            <w:tcW w:w="1098" w:type="dxa"/>
            <w:tcBorders/>
          </w:tcPr>
          <w:p>
            <w:pPr>
              <w:pStyle w:val="Normal"/>
              <w:snapToGrid w:val="false"/>
              <w:jc w:val="both"/>
              <w:rPr>
                <w:rFonts w:ascii="Arial" w:hAnsi="Arial" w:cs="Arial"/>
                <w:sz w:val="22"/>
              </w:rPr>
            </w:pPr>
            <w:r>
              <w:rPr>
                <w:rFonts w:cs="Arial" w:ascii="Arial" w:hAnsi="Arial"/>
                <w:sz w:val="22"/>
              </w:rPr>
            </w:r>
          </w:p>
        </w:tc>
        <w:tc>
          <w:tcPr>
            <w:tcW w:w="4999" w:type="dxa"/>
            <w:tcBorders/>
          </w:tcPr>
          <w:p>
            <w:pPr>
              <w:pStyle w:val="Normal"/>
              <w:snapToGrid w:val="false"/>
              <w:jc w:val="both"/>
              <w:rPr>
                <w:rFonts w:ascii="Arial" w:hAnsi="Arial" w:cs="Arial"/>
                <w:sz w:val="22"/>
              </w:rPr>
            </w:pPr>
            <w:r>
              <w:rPr>
                <w:rFonts w:cs="Arial" w:ascii="Arial" w:hAnsi="Arial"/>
                <w:sz w:val="22"/>
              </w:rPr>
            </w:r>
          </w:p>
        </w:tc>
        <w:tc>
          <w:tcPr>
            <w:tcW w:w="1008" w:type="dxa"/>
            <w:tcBorders/>
          </w:tcPr>
          <w:p>
            <w:pPr>
              <w:pStyle w:val="Normal"/>
              <w:snapToGrid w:val="false"/>
              <w:jc w:val="both"/>
              <w:rPr>
                <w:rFonts w:ascii="Arial" w:hAnsi="Arial" w:cs="Arial"/>
                <w:sz w:val="22"/>
              </w:rPr>
            </w:pPr>
            <w:r>
              <w:rPr>
                <w:rFonts w:cs="Arial" w:ascii="Arial" w:hAnsi="Arial"/>
                <w:sz w:val="22"/>
              </w:rPr>
            </w:r>
          </w:p>
        </w:tc>
        <w:tc>
          <w:tcPr>
            <w:tcW w:w="2160" w:type="dxa"/>
            <w:tcBorders/>
          </w:tcPr>
          <w:p>
            <w:pPr>
              <w:pStyle w:val="Normal"/>
              <w:snapToGrid w:val="false"/>
              <w:jc w:val="both"/>
              <w:rPr>
                <w:rFonts w:ascii="Arial" w:hAnsi="Arial" w:cs="Arial"/>
                <w:sz w:val="22"/>
              </w:rPr>
            </w:pPr>
            <w:r>
              <w:rPr>
                <w:rFonts w:cs="Arial" w:ascii="Arial" w:hAnsi="Arial"/>
                <w:sz w:val="22"/>
              </w:rPr>
            </w:r>
          </w:p>
        </w:tc>
      </w:tr>
      <w:tr>
        <w:trPr/>
        <w:tc>
          <w:tcPr>
            <w:tcW w:w="1098" w:type="dxa"/>
            <w:tcBorders/>
          </w:tcPr>
          <w:p>
            <w:pPr>
              <w:pStyle w:val="Normal"/>
              <w:jc w:val="both"/>
              <w:rPr>
                <w:rFonts w:ascii="Arial" w:hAnsi="Arial" w:cs="Arial"/>
                <w:sz w:val="22"/>
              </w:rPr>
            </w:pPr>
            <w:r>
              <w:rPr>
                <w:rFonts w:cs="Arial" w:ascii="Arial" w:hAnsi="Arial"/>
                <w:sz w:val="22"/>
              </w:rPr>
              <w:t>From:</w:t>
            </w:r>
          </w:p>
        </w:tc>
        <w:tc>
          <w:tcPr>
            <w:tcW w:w="4999" w:type="dxa"/>
            <w:tcBorders/>
          </w:tcPr>
          <w:p>
            <w:pPr>
              <w:pStyle w:val="Normal"/>
              <w:jc w:val="both"/>
              <w:rPr>
                <w:rFonts w:ascii="Arial" w:hAnsi="Arial" w:cs="Arial"/>
                <w:sz w:val="22"/>
              </w:rPr>
            </w:pPr>
            <w:bookmarkStart w:id="1" w:name="from"/>
            <w:bookmarkEnd w:id="1"/>
            <w:r>
              <w:rPr>
                <w:rFonts w:cs="Arial" w:ascii="Arial" w:hAnsi="Arial"/>
                <w:sz w:val="22"/>
              </w:rPr>
              <w:t>Paul DeVries, Eric Le Dain</w:t>
            </w:r>
          </w:p>
        </w:tc>
        <w:tc>
          <w:tcPr>
            <w:tcW w:w="1008" w:type="dxa"/>
            <w:tcBorders/>
          </w:tcPr>
          <w:p>
            <w:pPr>
              <w:pStyle w:val="Normal"/>
              <w:snapToGrid w:val="false"/>
              <w:jc w:val="both"/>
              <w:rPr>
                <w:rFonts w:ascii="Arial" w:hAnsi="Arial" w:cs="Arial"/>
                <w:sz w:val="22"/>
              </w:rPr>
            </w:pPr>
            <w:r>
              <w:rPr>
                <w:rFonts w:cs="Arial" w:ascii="Arial" w:hAnsi="Arial"/>
                <w:sz w:val="22"/>
              </w:rPr>
            </w:r>
          </w:p>
        </w:tc>
        <w:tc>
          <w:tcPr>
            <w:tcW w:w="2160" w:type="dxa"/>
            <w:tcBorders/>
          </w:tcPr>
          <w:p>
            <w:pPr>
              <w:pStyle w:val="Normal"/>
              <w:snapToGrid w:val="false"/>
              <w:jc w:val="both"/>
              <w:rPr>
                <w:rFonts w:ascii="Arial" w:hAnsi="Arial" w:cs="Arial"/>
                <w:sz w:val="22"/>
              </w:rPr>
            </w:pPr>
            <w:r>
              <w:rPr>
                <w:rFonts w:cs="Arial" w:ascii="Arial" w:hAnsi="Arial"/>
                <w:sz w:val="22"/>
              </w:rPr>
            </w:r>
            <w:bookmarkStart w:id="2" w:name="dept"/>
            <w:bookmarkStart w:id="3" w:name="dept"/>
            <w:bookmarkEnd w:id="3"/>
          </w:p>
        </w:tc>
      </w:tr>
      <w:tr>
        <w:trPr/>
        <w:tc>
          <w:tcPr>
            <w:tcW w:w="1098" w:type="dxa"/>
            <w:tcBorders/>
          </w:tcPr>
          <w:p>
            <w:pPr>
              <w:pStyle w:val="Normal"/>
              <w:snapToGrid w:val="false"/>
              <w:jc w:val="both"/>
              <w:rPr>
                <w:rFonts w:ascii="Arial" w:hAnsi="Arial" w:cs="Arial"/>
                <w:sz w:val="22"/>
              </w:rPr>
            </w:pPr>
            <w:r>
              <w:rPr>
                <w:rFonts w:cs="Arial" w:ascii="Arial" w:hAnsi="Arial"/>
                <w:sz w:val="22"/>
              </w:rPr>
            </w:r>
          </w:p>
        </w:tc>
        <w:tc>
          <w:tcPr>
            <w:tcW w:w="4999" w:type="dxa"/>
            <w:tcBorders/>
          </w:tcPr>
          <w:p>
            <w:pPr>
              <w:pStyle w:val="Normal"/>
              <w:snapToGrid w:val="false"/>
              <w:jc w:val="both"/>
              <w:rPr>
                <w:rFonts w:ascii="Arial" w:hAnsi="Arial" w:cs="Arial"/>
                <w:sz w:val="22"/>
              </w:rPr>
            </w:pPr>
            <w:r>
              <w:rPr>
                <w:rFonts w:cs="Arial" w:ascii="Arial" w:hAnsi="Arial"/>
                <w:sz w:val="22"/>
              </w:rPr>
            </w:r>
          </w:p>
        </w:tc>
        <w:tc>
          <w:tcPr>
            <w:tcW w:w="1008" w:type="dxa"/>
            <w:tcBorders/>
          </w:tcPr>
          <w:p>
            <w:pPr>
              <w:pStyle w:val="Normal"/>
              <w:snapToGrid w:val="false"/>
              <w:jc w:val="both"/>
              <w:rPr>
                <w:rFonts w:ascii="Arial" w:hAnsi="Arial" w:cs="Arial"/>
                <w:sz w:val="22"/>
              </w:rPr>
            </w:pPr>
            <w:r>
              <w:rPr>
                <w:rFonts w:cs="Arial" w:ascii="Arial" w:hAnsi="Arial"/>
                <w:sz w:val="22"/>
              </w:rPr>
            </w:r>
          </w:p>
        </w:tc>
        <w:tc>
          <w:tcPr>
            <w:tcW w:w="2160" w:type="dxa"/>
            <w:tcBorders/>
          </w:tcPr>
          <w:p>
            <w:pPr>
              <w:pStyle w:val="Normal"/>
              <w:snapToGrid w:val="false"/>
              <w:jc w:val="both"/>
              <w:rPr>
                <w:rFonts w:ascii="Arial" w:hAnsi="Arial" w:cs="Arial"/>
                <w:sz w:val="22"/>
              </w:rPr>
            </w:pPr>
            <w:r>
              <w:rPr>
                <w:rFonts w:cs="Arial" w:ascii="Arial" w:hAnsi="Arial"/>
                <w:sz w:val="22"/>
              </w:rPr>
            </w:r>
          </w:p>
        </w:tc>
      </w:tr>
      <w:tr>
        <w:trPr/>
        <w:tc>
          <w:tcPr>
            <w:tcW w:w="1098" w:type="dxa"/>
            <w:tcBorders/>
          </w:tcPr>
          <w:p>
            <w:pPr>
              <w:pStyle w:val="Normal"/>
              <w:jc w:val="both"/>
              <w:rPr>
                <w:rFonts w:ascii="Arial" w:hAnsi="Arial" w:cs="Arial"/>
                <w:sz w:val="22"/>
              </w:rPr>
            </w:pPr>
            <w:r>
              <w:rPr>
                <w:rFonts w:cs="Arial" w:ascii="Arial" w:hAnsi="Arial"/>
                <w:sz w:val="22"/>
              </w:rPr>
              <w:t>Subject:</w:t>
            </w:r>
          </w:p>
        </w:tc>
        <w:tc>
          <w:tcPr>
            <w:tcW w:w="4999" w:type="dxa"/>
            <w:tcBorders/>
          </w:tcPr>
          <w:p>
            <w:pPr>
              <w:pStyle w:val="Heading3"/>
              <w:ind w:hanging="0" w:start="0"/>
              <w:rPr/>
            </w:pPr>
            <w:bookmarkStart w:id="4" w:name="subject"/>
            <w:bookmarkEnd w:id="4"/>
            <w:r>
              <w:rPr/>
              <w:t>NUG Contract Administrator</w:t>
            </w:r>
          </w:p>
        </w:tc>
        <w:tc>
          <w:tcPr>
            <w:tcW w:w="1008" w:type="dxa"/>
            <w:tcBorders/>
          </w:tcPr>
          <w:p>
            <w:pPr>
              <w:pStyle w:val="Normal"/>
              <w:tabs>
                <w:tab w:val="clear" w:pos="720"/>
                <w:tab w:val="left" w:pos="653" w:leader="none"/>
                <w:tab w:val="left" w:pos="743" w:leader="none"/>
              </w:tabs>
              <w:jc w:val="both"/>
              <w:rPr>
                <w:rFonts w:ascii="Arial" w:hAnsi="Arial" w:cs="Arial"/>
                <w:sz w:val="22"/>
              </w:rPr>
            </w:pPr>
            <w:r>
              <w:rPr>
                <w:rFonts w:cs="Arial" w:ascii="Arial" w:hAnsi="Arial"/>
                <w:sz w:val="22"/>
              </w:rPr>
              <w:t>Date:</w:t>
            </w:r>
          </w:p>
        </w:tc>
        <w:tc>
          <w:tcPr>
            <w:tcW w:w="2160" w:type="dxa"/>
            <w:tcBorders/>
          </w:tcPr>
          <w:p>
            <w:pPr>
              <w:pStyle w:val="Normal"/>
              <w:ind w:start="-67" w:end="0"/>
              <w:jc w:val="both"/>
              <w:rPr>
                <w:rFonts w:ascii="Arial" w:hAnsi="Arial" w:cs="Arial"/>
                <w:sz w:val="22"/>
              </w:rPr>
            </w:pPr>
            <w:r>
              <w:rPr>
                <w:rFonts w:cs="Arial" w:ascii="Arial" w:hAnsi="Arial"/>
                <w:sz w:val="22"/>
              </w:rPr>
              <w:t>November 2, 2000</w:t>
            </w:r>
          </w:p>
        </w:tc>
      </w:tr>
    </w:tbl>
    <w:p>
      <w:pPr>
        <w:pStyle w:val="Normal"/>
        <w:pBdr>
          <w:bottom w:val="single" w:sz="12" w:space="1" w:color="000000"/>
        </w:pBdr>
        <w:jc w:val="both"/>
        <w:rPr>
          <w:rFonts w:ascii="Arial" w:hAnsi="Arial" w:cs="Arial"/>
          <w:sz w:val="22"/>
        </w:rPr>
      </w:pPr>
      <w:r>
        <w:rPr>
          <w:rFonts w:cs="Arial" w:ascii="Arial" w:hAnsi="Arial"/>
          <w:sz w:val="22"/>
        </w:rPr>
      </w:r>
    </w:p>
    <w:p>
      <w:pPr>
        <w:pStyle w:val="Heading2"/>
        <w:ind w:hanging="0" w:start="0"/>
        <w:rPr>
          <w:rFonts w:ascii="Arial" w:hAnsi="Arial" w:cs="Arial"/>
          <w:b w:val="false"/>
          <w:sz w:val="22"/>
        </w:rPr>
      </w:pPr>
      <w:r>
        <w:rPr>
          <w:rFonts w:cs="Arial"/>
          <w:b w:val="false"/>
          <w:sz w:val="22"/>
        </w:rPr>
      </w:r>
    </w:p>
    <w:p>
      <w:pPr>
        <w:pStyle w:val="Heading2"/>
        <w:ind w:hanging="0" w:start="0"/>
        <w:rPr>
          <w:b w:val="false"/>
          <w:sz w:val="22"/>
        </w:rPr>
      </w:pPr>
      <w:r>
        <w:rPr>
          <w:b w:val="false"/>
          <w:sz w:val="22"/>
        </w:rPr>
        <w:t>Enron Canada has been chosen by OEFC (The Ontario Electricity Financial Corporation – an Ontario Government Agency) through an RFP process to assume the role of the Contract Manager in Ontario, responsible for the day-to-day management of the non-utility generation (NUGs) contracts the OEFC has in place with 64 independent power projects.  Total capacity of all of the NUG’s is 1686 MW, and they generally operate at over 90% load factor.  OEFC is an independent division of the old Ontario Hydro.</w:t>
      </w:r>
    </w:p>
    <w:p>
      <w:pPr>
        <w:pStyle w:val="Heading2"/>
        <w:ind w:hanging="0" w:start="0"/>
        <w:rPr>
          <w:b w:val="false"/>
          <w:sz w:val="22"/>
        </w:rPr>
      </w:pPr>
      <w:r>
        <w:rPr>
          <w:b w:val="false"/>
          <w:sz w:val="22"/>
        </w:rPr>
      </w:r>
    </w:p>
    <w:p>
      <w:pPr>
        <w:pStyle w:val="Normal"/>
        <w:rPr/>
      </w:pPr>
      <w:r>
        <w:rPr>
          <w:rFonts w:cs="Arial" w:ascii="Arial" w:hAnsi="Arial"/>
          <w:sz w:val="22"/>
        </w:rPr>
        <w:t xml:space="preserve">This opportunity is </w:t>
      </w:r>
      <w:r>
        <w:rPr>
          <w:rFonts w:cs="Arial" w:ascii="Arial" w:hAnsi="Arial"/>
          <w:sz w:val="22"/>
          <w:u w:val="single"/>
        </w:rPr>
        <w:t>very</w:t>
      </w:r>
      <w:r>
        <w:rPr>
          <w:rFonts w:cs="Arial" w:ascii="Arial" w:hAnsi="Arial"/>
          <w:sz w:val="22"/>
        </w:rPr>
        <w:t xml:space="preserve"> high profile in Ontario and confirms Enron Canada’s position as a major player in the newly deregulating market.  Enron now has significant relationships that cross both the demand and supply sectors of the marketplace.</w:t>
      </w:r>
    </w:p>
    <w:p>
      <w:pPr>
        <w:pStyle w:val="Normal"/>
        <w:rPr>
          <w:rFonts w:ascii="Arial" w:hAnsi="Arial" w:cs="Arial"/>
          <w:sz w:val="22"/>
        </w:rPr>
      </w:pPr>
      <w:r>
        <w:rPr>
          <w:rFonts w:cs="Arial" w:ascii="Arial" w:hAnsi="Arial"/>
          <w:sz w:val="22"/>
        </w:rPr>
      </w:r>
    </w:p>
    <w:p>
      <w:pPr>
        <w:pStyle w:val="Heading2"/>
        <w:ind w:hanging="0" w:start="0"/>
        <w:rPr>
          <w:b w:val="false"/>
          <w:sz w:val="22"/>
        </w:rPr>
      </w:pPr>
      <w:r>
        <w:rPr>
          <w:b w:val="false"/>
          <w:sz w:val="22"/>
        </w:rPr>
        <w:t>The services to be provided are both operational (dispatch/scheduling, settlements, contract management, and accounting) and risk/portfolio management (portfolio positioning recommendations, trading, contract restructuring recommendations).  The services agreement is for an initial three year term and may be extended for a maximum of two years in increments of one year.  A Definitive Agreement is expected to be executed within 30 days.  The main areas of negotiation will likely center around mitigating potential conflicts of interest and Enron Canada’s contractual obligations to OEFC.</w:t>
      </w:r>
    </w:p>
    <w:p>
      <w:pPr>
        <w:pStyle w:val="Heading2"/>
        <w:ind w:hanging="0" w:start="0"/>
        <w:rPr>
          <w:b w:val="false"/>
          <w:sz w:val="22"/>
        </w:rPr>
      </w:pPr>
      <w:r>
        <w:rPr>
          <w:b w:val="false"/>
          <w:sz w:val="22"/>
        </w:rPr>
      </w:r>
    </w:p>
    <w:p>
      <w:pPr>
        <w:pStyle w:val="Heading2"/>
        <w:ind w:hanging="0" w:start="0"/>
        <w:rPr>
          <w:sz w:val="22"/>
          <w:u w:val="single"/>
        </w:rPr>
      </w:pPr>
      <w:r>
        <w:rPr>
          <w:sz w:val="22"/>
          <w:u w:val="single"/>
        </w:rPr>
        <w:t>BACKGROUND</w:t>
      </w:r>
    </w:p>
    <w:p>
      <w:pPr>
        <w:pStyle w:val="Normal"/>
        <w:rPr>
          <w:rFonts w:ascii="Arial" w:hAnsi="Arial" w:cs="Arial"/>
          <w:sz w:val="22"/>
        </w:rPr>
      </w:pPr>
      <w:r>
        <w:rPr>
          <w:rFonts w:cs="Arial" w:ascii="Arial" w:hAnsi="Arial"/>
          <w:sz w:val="22"/>
        </w:rPr>
        <w:t>The Ontario NUG long term power purchase contracts were put in place in the same environment as the QF’s in the US and were based on long run avoided cost projections that did not materialize.  Generally the prices paid by OEFC for the power are above market and OEFC is focused on reducing its stranded costs.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Scope of the NUG’s:</w:t>
      </w:r>
    </w:p>
    <w:p>
      <w:pPr>
        <w:pStyle w:val="Normal"/>
        <w:rPr>
          <w:rFonts w:ascii="Arial" w:hAnsi="Arial" w:cs="Arial"/>
          <w:sz w:val="22"/>
        </w:rPr>
      </w:pPr>
      <w:r>
        <w:rPr>
          <w:rFonts w:cs="Arial" w:ascii="Arial" w:hAnsi="Arial"/>
          <w:sz w:val="22"/>
        </w:rPr>
        <w:t>1.</w:t>
        <w:tab/>
        <w:t>Capacity -</w:t>
        <w:tab/>
        <w:tab/>
        <w:t>1686 MW</w:t>
      </w:r>
    </w:p>
    <w:p>
      <w:pPr>
        <w:pStyle w:val="Normal"/>
        <w:rPr>
          <w:rFonts w:ascii="Arial" w:hAnsi="Arial" w:cs="Arial"/>
          <w:sz w:val="22"/>
        </w:rPr>
      </w:pPr>
      <w:r>
        <w:rPr>
          <w:rFonts w:cs="Arial" w:ascii="Arial" w:hAnsi="Arial"/>
          <w:sz w:val="22"/>
        </w:rPr>
        <w:t>2.</w:t>
        <w:tab/>
        <w:t>Load Factor -</w:t>
        <w:tab/>
        <w:tab/>
        <w:t>92%</w:t>
      </w:r>
    </w:p>
    <w:p>
      <w:pPr>
        <w:pStyle w:val="Normal"/>
        <w:rPr>
          <w:rFonts w:ascii="Arial" w:hAnsi="Arial" w:cs="Arial"/>
          <w:sz w:val="22"/>
        </w:rPr>
      </w:pPr>
      <w:r>
        <w:rPr>
          <w:rFonts w:cs="Arial" w:ascii="Arial" w:hAnsi="Arial"/>
          <w:sz w:val="22"/>
        </w:rPr>
        <w:t>3.</w:t>
        <w:tab/>
        <w:t xml:space="preserve">Number of plants - </w:t>
        <w:tab/>
        <w:t>90</w:t>
      </w:r>
    </w:p>
    <w:p>
      <w:pPr>
        <w:pStyle w:val="Normal"/>
        <w:rPr>
          <w:rFonts w:ascii="Arial" w:hAnsi="Arial" w:cs="Arial"/>
          <w:sz w:val="22"/>
        </w:rPr>
      </w:pPr>
      <w:r>
        <w:rPr>
          <w:rFonts w:cs="Arial" w:ascii="Arial" w:hAnsi="Arial"/>
          <w:sz w:val="22"/>
        </w:rPr>
        <w:t>4.</w:t>
        <w:tab/>
        <w:t>Fuels -</w:t>
        <w:tab/>
        <w:tab/>
        <w:tab/>
        <w:t>Gas, biomass, hydro</w:t>
      </w:r>
    </w:p>
    <w:p>
      <w:pPr>
        <w:pStyle w:val="Normal"/>
        <w:rPr>
          <w:rFonts w:ascii="Arial" w:hAnsi="Arial" w:cs="Arial"/>
          <w:sz w:val="22"/>
        </w:rPr>
      </w:pPr>
      <w:r>
        <w:rPr>
          <w:rFonts w:cs="Arial" w:ascii="Arial" w:hAnsi="Arial"/>
          <w:sz w:val="22"/>
        </w:rPr>
        <w:t>5.</w:t>
        <w:tab/>
        <w:t>Maximum plant size -</w:t>
        <w:tab/>
        <w:t>165 MW</w:t>
      </w:r>
    </w:p>
    <w:p>
      <w:pPr>
        <w:pStyle w:val="Normal"/>
        <w:rPr>
          <w:rFonts w:ascii="Arial" w:hAnsi="Arial" w:cs="Arial"/>
          <w:sz w:val="22"/>
        </w:rPr>
      </w:pPr>
      <w:r>
        <w:rPr>
          <w:rFonts w:cs="Arial" w:ascii="Arial" w:hAnsi="Arial"/>
          <w:sz w:val="22"/>
        </w:rPr>
        <w:t>6.</w:t>
        <w:tab/>
        <w:t xml:space="preserve">Locations - </w:t>
        <w:tab/>
        <w:tab/>
        <w:t xml:space="preserve">All sectors of the transmission grid, key rivers </w:t>
      </w:r>
    </w:p>
    <w:p>
      <w:pPr>
        <w:pStyle w:val="Normal"/>
        <w:rPr>
          <w:rFonts w:ascii="Arial" w:hAnsi="Arial" w:cs="Arial"/>
          <w:sz w:val="22"/>
        </w:rPr>
      </w:pPr>
      <w:r>
        <w:rPr>
          <w:rFonts w:cs="Arial" w:ascii="Arial" w:hAnsi="Arial"/>
          <w:sz w:val="22"/>
        </w:rPr>
      </w:r>
    </w:p>
    <w:p>
      <w:pPr>
        <w:pStyle w:val="Heading2"/>
        <w:ind w:hanging="0" w:start="0"/>
        <w:rPr>
          <w:sz w:val="22"/>
          <w:u w:val="single"/>
        </w:rPr>
      </w:pPr>
      <w:r>
        <w:rPr>
          <w:sz w:val="22"/>
          <w:u w:val="single"/>
        </w:rPr>
        <w:t>VALUE DRIVERS AND EARNINGS EXPECTATIONS</w:t>
      </w:r>
    </w:p>
    <w:p>
      <w:pPr>
        <w:pStyle w:val="Normal"/>
        <w:rPr>
          <w:rFonts w:ascii="Arial" w:hAnsi="Arial" w:cs="Arial"/>
          <w:b/>
          <w:sz w:val="22"/>
        </w:rPr>
      </w:pPr>
      <w:r>
        <w:rPr>
          <w:rFonts w:cs="Arial" w:ascii="Arial" w:hAnsi="Arial"/>
          <w:b/>
          <w:sz w:val="22"/>
        </w:rPr>
        <w:t>Fee Income</w:t>
      </w:r>
    </w:p>
    <w:p>
      <w:pPr>
        <w:pStyle w:val="Normal"/>
        <w:rPr>
          <w:rFonts w:ascii="Arial" w:hAnsi="Arial" w:cs="Arial"/>
          <w:sz w:val="22"/>
        </w:rPr>
      </w:pPr>
      <w:r>
        <w:rPr>
          <w:rFonts w:cs="Arial" w:ascii="Arial" w:hAnsi="Arial"/>
          <w:sz w:val="22"/>
        </w:rPr>
        <w:t>CAD$500,000-CAD$700,000 per year expected</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Incentive Payment</w:t>
      </w:r>
    </w:p>
    <w:p>
      <w:pPr>
        <w:pStyle w:val="Normal"/>
        <w:rPr>
          <w:rFonts w:ascii="Arial" w:hAnsi="Arial" w:cs="Arial"/>
          <w:sz w:val="22"/>
        </w:rPr>
      </w:pPr>
      <w:r>
        <w:rPr>
          <w:rFonts w:cs="Arial" w:ascii="Arial" w:hAnsi="Arial"/>
          <w:sz w:val="22"/>
        </w:rPr>
        <w:t>CAD$2,000,000-CAD$3,000,000 per year expected</w:t>
      </w:r>
    </w:p>
    <w:p>
      <w:pPr>
        <w:pStyle w:val="Normal"/>
        <w:rPr/>
      </w:pPr>
      <w:r>
        <w:rPr>
          <w:rFonts w:cs="Arial" w:ascii="Arial" w:hAnsi="Arial"/>
          <w:sz w:val="22"/>
        </w:rPr>
        <w:t xml:space="preserve">Enron Canada will receive a yearly incentive payment based on its ability to achieve revenues for OEFC’s generation portfolio above a benchmark level.  The proposed benchmark electricity price used in the revenue calculation is currently </w:t>
      </w:r>
      <w:r>
        <w:rPr>
          <w:rFonts w:cs="Arial" w:ascii="Arial" w:hAnsi="Arial"/>
          <w:b/>
          <w:sz w:val="22"/>
        </w:rPr>
        <w:t>$2/MWh below Enron Canada’s bid price</w:t>
      </w:r>
      <w:r>
        <w:rPr>
          <w:rFonts w:cs="Arial" w:ascii="Arial" w:hAnsi="Arial"/>
          <w:sz w:val="22"/>
        </w:rPr>
        <w:t>.</w:t>
      </w:r>
    </w:p>
    <w:p>
      <w:pPr>
        <w:pStyle w:val="Normal"/>
        <w:rPr>
          <w:rFonts w:ascii="Arial" w:hAnsi="Arial" w:cs="Arial"/>
          <w:sz w:val="22"/>
        </w:rPr>
      </w:pPr>
      <w:r>
        <w:rPr>
          <w:rFonts w:cs="Arial" w:ascii="Arial" w:hAnsi="Arial"/>
          <w:sz w:val="22"/>
        </w:rPr>
        <w:t>Enron Canada has identified other contract optimization opportunities to help ensure an incentive payment is realized including dispatch optimization, rescheduling maintenance, participation in the ancillary services markets and selling incremental output from the NUG facilities.</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Trading Knowledge</w:t>
      </w:r>
    </w:p>
    <w:p>
      <w:pPr>
        <w:pStyle w:val="BodyText"/>
        <w:rPr/>
      </w:pPr>
      <w:r>
        <w:rPr/>
        <w:t>The trading value from the incremental market knowledge Enron Canada will receive from managing the NUG contracts is significant.  This includes:</w:t>
      </w:r>
    </w:p>
    <w:p>
      <w:pPr>
        <w:pStyle w:val="Normal"/>
        <w:numPr>
          <w:ilvl w:val="0"/>
          <w:numId w:val="2"/>
        </w:numPr>
        <w:rPr>
          <w:rFonts w:ascii="Arial" w:hAnsi="Arial" w:cs="Arial"/>
          <w:sz w:val="22"/>
        </w:rPr>
      </w:pPr>
      <w:r>
        <w:rPr>
          <w:rFonts w:cs="Arial" w:ascii="Arial" w:hAnsi="Arial"/>
          <w:sz w:val="22"/>
        </w:rPr>
        <w:t>Hydro flow and pondage knowledge</w:t>
      </w:r>
    </w:p>
    <w:p>
      <w:pPr>
        <w:pStyle w:val="Normal"/>
        <w:numPr>
          <w:ilvl w:val="0"/>
          <w:numId w:val="2"/>
        </w:numPr>
        <w:rPr>
          <w:rFonts w:ascii="Arial" w:hAnsi="Arial" w:cs="Arial"/>
          <w:sz w:val="22"/>
        </w:rPr>
      </w:pPr>
      <w:r>
        <w:rPr>
          <w:rFonts w:cs="Arial" w:ascii="Arial" w:hAnsi="Arial"/>
          <w:sz w:val="22"/>
        </w:rPr>
        <w:t>Identification of transmission congestion (pre and post LMP) across the Province</w:t>
      </w:r>
    </w:p>
    <w:p>
      <w:pPr>
        <w:pStyle w:val="Normal"/>
        <w:numPr>
          <w:ilvl w:val="0"/>
          <w:numId w:val="2"/>
        </w:numPr>
        <w:rPr>
          <w:rFonts w:ascii="Arial" w:hAnsi="Arial" w:cs="Arial"/>
          <w:sz w:val="22"/>
        </w:rPr>
      </w:pPr>
      <w:r>
        <w:rPr>
          <w:rFonts w:cs="Arial" w:ascii="Arial" w:hAnsi="Arial"/>
          <w:sz w:val="22"/>
        </w:rPr>
        <w:t>Bidding strategies</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Short-term trading opportunities</w:t>
      </w:r>
    </w:p>
    <w:p>
      <w:pPr>
        <w:pStyle w:val="Normal"/>
        <w:rPr>
          <w:rFonts w:ascii="Arial" w:hAnsi="Arial" w:cs="Arial"/>
          <w:sz w:val="22"/>
        </w:rPr>
      </w:pPr>
      <w:r>
        <w:rPr>
          <w:rFonts w:cs="Arial" w:ascii="Arial" w:hAnsi="Arial"/>
          <w:sz w:val="22"/>
        </w:rPr>
        <w:t>Enron Canada is proposing to OEFC that electricity sales into the market below a threshold term or value be done automatically through Enron Canada.</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Long-term electricity and natural gas trading opportunities</w:t>
      </w:r>
    </w:p>
    <w:p>
      <w:pPr>
        <w:pStyle w:val="Normal"/>
        <w:rPr>
          <w:rFonts w:ascii="Arial" w:hAnsi="Arial" w:cs="Arial"/>
          <w:sz w:val="22"/>
        </w:rPr>
      </w:pPr>
      <w:r>
        <w:rPr>
          <w:rFonts w:cs="Arial" w:ascii="Arial" w:hAnsi="Arial"/>
          <w:sz w:val="22"/>
        </w:rPr>
        <w:t>Enron Canada will be proposing portfolio positioning strategies which will include term electricity sales.  Although these will be taken to market through some sort of transparent process to mitigate conflicts of interest, it is expected that Enron Canada will win some of these.  In addition, Enron Canada will be proposing that OEFC manage its risk exposure due to movements in natural gas prices.  This will create opportunities for long-term natural gas sales and purchases.</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Contract Restructuring</w:t>
      </w:r>
    </w:p>
    <w:p>
      <w:pPr>
        <w:pStyle w:val="Normal"/>
        <w:rPr>
          <w:rFonts w:ascii="Arial" w:hAnsi="Arial" w:cs="Arial"/>
          <w:sz w:val="22"/>
        </w:rPr>
      </w:pPr>
      <w:r>
        <w:rPr>
          <w:rFonts w:cs="Arial" w:ascii="Arial" w:hAnsi="Arial"/>
          <w:sz w:val="22"/>
        </w:rPr>
        <w:t>As part of the services agreement, OEFC is looking to the Contract Manager to play an active role in its ongoing efforts to potentially restructure its NUG contracts.  Enron Canada will be in a very good position to make recommendations as to how the contracts can be restructured and to participate in the restructuring itself.</w:t>
      </w:r>
    </w:p>
    <w:p>
      <w:pPr>
        <w:pStyle w:val="Normal"/>
        <w:rPr>
          <w:rFonts w:ascii="Arial" w:hAnsi="Arial" w:cs="Arial"/>
          <w:sz w:val="22"/>
        </w:rPr>
      </w:pPr>
      <w:r>
        <w:rPr>
          <w:rFonts w:cs="Arial" w:ascii="Arial" w:hAnsi="Arial"/>
          <w:sz w:val="22"/>
        </w:rPr>
      </w:r>
    </w:p>
    <w:p>
      <w:pPr>
        <w:pStyle w:val="Heading4"/>
        <w:ind w:hanging="0" w:start="0"/>
        <w:rPr/>
      </w:pPr>
      <w:r>
        <w:rPr/>
        <w:t>PROPOSED DEAL TEAM STRUCTURE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Paul DeVries -</w:t>
        <w:tab/>
        <w:tab/>
        <w:t>Enron account manager (support from Eric Le Dain as required)</w:t>
      </w:r>
    </w:p>
    <w:p>
      <w:pPr>
        <w:pStyle w:val="Normal"/>
        <w:rPr>
          <w:rFonts w:ascii="Arial" w:hAnsi="Arial" w:cs="Arial"/>
          <w:sz w:val="22"/>
        </w:rPr>
      </w:pPr>
      <w:r>
        <w:rPr>
          <w:rFonts w:cs="Arial" w:ascii="Arial" w:hAnsi="Arial"/>
          <w:sz w:val="22"/>
        </w:rPr>
        <w:t>Jan Wilson -</w:t>
        <w:tab/>
        <w:tab/>
        <w:t>Commercial/Portfolio manager</w:t>
      </w:r>
    </w:p>
    <w:p>
      <w:pPr>
        <w:pStyle w:val="Normal"/>
        <w:rPr>
          <w:rFonts w:ascii="Arial" w:hAnsi="Arial" w:cs="Arial"/>
          <w:sz w:val="22"/>
        </w:rPr>
      </w:pPr>
      <w:r>
        <w:rPr>
          <w:rFonts w:cs="Arial" w:ascii="Arial" w:hAnsi="Arial"/>
          <w:sz w:val="22"/>
        </w:rPr>
        <w:t>Aleck Dadson -</w:t>
        <w:tab/>
        <w:t>Team 1 manager pre-market opening on market transition issues</w:t>
      </w:r>
    </w:p>
    <w:p>
      <w:pPr>
        <w:pStyle w:val="Normal"/>
        <w:rPr>
          <w:rFonts w:ascii="Arial" w:hAnsi="Arial" w:cs="Arial"/>
          <w:sz w:val="22"/>
        </w:rPr>
      </w:pPr>
      <w:r>
        <w:rPr>
          <w:rFonts w:cs="Arial" w:ascii="Arial" w:hAnsi="Arial"/>
          <w:sz w:val="22"/>
        </w:rPr>
        <w:t xml:space="preserve">Scott Gilbert - </w:t>
        <w:tab/>
        <w:tab/>
        <w:t>Team 2 manager for systems development</w:t>
      </w:r>
    </w:p>
    <w:p>
      <w:pPr>
        <w:pStyle w:val="Normal"/>
        <w:rPr>
          <w:rFonts w:ascii="Arial" w:hAnsi="Arial" w:cs="Arial"/>
          <w:sz w:val="22"/>
        </w:rPr>
      </w:pPr>
      <w:r>
        <w:rPr>
          <w:rFonts w:cs="Arial" w:ascii="Arial" w:hAnsi="Arial"/>
          <w:sz w:val="22"/>
        </w:rPr>
        <w:t xml:space="preserve">Garrett Tripp - </w:t>
        <w:tab/>
        <w:t>Trading support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NUG contract manager role will require incremental staff resources both for defining contract restructuring opportunities and on the systems side.  These specific resource requirements include one incremental scheduler/trading analyst, an accountant, one settlements person, and a commercial contract restructuring associate/manager.  Timing for the staffing will be defined after further discussion with OEFC.</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Paul, Eric</w:t>
      </w:r>
    </w:p>
    <w:sectPr>
      <w:type w:val="nextPage"/>
      <w:pgSz w:w="12240" w:h="15840"/>
      <w:pgMar w:left="1440" w:right="1440" w:gutter="0" w:header="0" w:top="1152"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paragraph" w:styleId="Heading2">
    <w:name w:val="heading 2"/>
    <w:basedOn w:val="Normal"/>
    <w:next w:val="Normal"/>
    <w:qFormat/>
    <w:pPr>
      <w:keepNext w:val="true"/>
      <w:numPr>
        <w:ilvl w:val="1"/>
        <w:numId w:val="1"/>
      </w:numPr>
      <w:outlineLvl w:val="1"/>
    </w:pPr>
    <w:rPr>
      <w:rFonts w:ascii="Arial" w:hAnsi="Arial" w:cs="Arial"/>
      <w:b/>
      <w:sz w:val="28"/>
    </w:rPr>
  </w:style>
  <w:style w:type="paragraph" w:styleId="Heading3">
    <w:name w:val="heading 3"/>
    <w:basedOn w:val="Normal"/>
    <w:next w:val="Normal"/>
    <w:qFormat/>
    <w:pPr>
      <w:keepNext w:val="true"/>
      <w:numPr>
        <w:ilvl w:val="2"/>
        <w:numId w:val="1"/>
      </w:numPr>
      <w:jc w:val="both"/>
      <w:outlineLvl w:val="2"/>
    </w:pPr>
    <w:rPr>
      <w:rFonts w:ascii="Arial" w:hAnsi="Arial" w:cs="Arial"/>
      <w:b/>
      <w:sz w:val="22"/>
    </w:rPr>
  </w:style>
  <w:style w:type="paragraph" w:styleId="Heading4">
    <w:name w:val="heading 4"/>
    <w:basedOn w:val="Normal"/>
    <w:next w:val="Normal"/>
    <w:qFormat/>
    <w:pPr>
      <w:keepNext w:val="true"/>
      <w:numPr>
        <w:ilvl w:val="3"/>
        <w:numId w:val="1"/>
      </w:numPr>
      <w:outlineLvl w:val="3"/>
    </w:pPr>
    <w:rPr>
      <w:rFonts w:ascii="Arial" w:hAnsi="Arial" w:cs="Arial"/>
      <w:b/>
      <w:sz w:val="22"/>
      <w:u w:val="single"/>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2000-11-02T18:18:00Z</dcterms:created>
  <dc:creator>pdevrie</dc:creator>
  <dc:description/>
  <dc:language>en-CA</dc:language>
  <cp:lastModifiedBy>Rob Milnthorp</cp:lastModifiedBy>
  <cp:lastPrinted>2000-11-02T08:44:00Z</cp:lastPrinted>
  <dcterms:modified xsi:type="dcterms:W3CDTF">2000-11-02T18:18:00Z</dcterms:modified>
  <cp:revision>2</cp:revision>
  <dc:subject/>
  <dc:title> </dc:title>
</cp:coreProperties>
</file>