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 __,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CONFIRMATION LETTER No. 1</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April __, 2000, between Northern States Power Company ("NSP") and Enron Power Marketing, Inc. ("EPMI"), regarding the purchase and sale of Capacity and Firm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Capacity and Firm Energy (“Energy”, comprised of Energy Block A and Energy Block B hereunder) – sold generally under MAPP Schedule A, Participation Power,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Energy Block A</w:t>
      </w:r>
      <w:r>
        <w:rPr>
          <w:b/>
          <w:sz w:val="24"/>
        </w:rPr>
        <w:t xml:space="preserve"> </w:t>
      </w:r>
      <w:r>
        <w:rPr>
          <w:sz w:val="24"/>
        </w:rPr>
        <w:t>June 1 – August 31, 2000 (“Block A Period of Delivery”)</w:t>
      </w:r>
    </w:p>
    <w:p>
      <w:pPr>
        <w:pStyle w:val="Normal"/>
        <w:widowControl/>
        <w:tabs>
          <w:tab w:val="clear" w:pos="720"/>
          <w:tab w:val="left" w:pos="1440" w:leader="none"/>
        </w:tabs>
        <w:ind w:hanging="2160" w:start="2160" w:end="0"/>
        <w:jc w:val="both"/>
        <w:rPr/>
      </w:pPr>
      <w:r>
        <w:rPr>
          <w:b/>
          <w:sz w:val="24"/>
        </w:rPr>
        <w:tab/>
        <w:tab/>
      </w:r>
      <w:r>
        <w:rPr>
          <w:sz w:val="24"/>
        </w:rPr>
        <w:t xml:space="preserve">100 MW Capacity, available throughout the Block A Period of Delivery , and 100 MW per hour of Energy during the same period (subject to scheduling restrictions below) at the Delivery Point.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r>
    </w:p>
    <w:p>
      <w:pPr>
        <w:pStyle w:val="Normal"/>
        <w:widowControl/>
        <w:tabs>
          <w:tab w:val="clear" w:pos="720"/>
          <w:tab w:val="left" w:pos="1440" w:leader="none"/>
        </w:tabs>
        <w:ind w:hanging="2160" w:start="2160" w:end="0"/>
        <w:jc w:val="both"/>
        <w:rPr>
          <w:sz w:val="24"/>
        </w:rPr>
      </w:pPr>
      <w:r>
        <w:rPr>
          <w:sz w:val="24"/>
        </w:rPr>
        <w:tab/>
        <w:tab/>
        <w:t>Energy Block B June 1 – September 30, 2000 (“Block B Period of Delivery”)</w:t>
      </w:r>
    </w:p>
    <w:p>
      <w:pPr>
        <w:pStyle w:val="Normal"/>
        <w:widowControl/>
        <w:tabs>
          <w:tab w:val="clear" w:pos="720"/>
          <w:tab w:val="left" w:pos="1440" w:leader="none"/>
        </w:tabs>
        <w:ind w:hanging="2160" w:start="2160" w:end="0"/>
        <w:jc w:val="both"/>
        <w:rPr>
          <w:sz w:val="24"/>
        </w:rPr>
      </w:pPr>
      <w:r>
        <w:rPr>
          <w:sz w:val="24"/>
        </w:rPr>
        <w:tab/>
        <w:tab/>
        <w:t>150 MW Capacity, available throughout the Block B Period of Delivery , and 150 MW per hour of Energy during that same period (subject to scheduling restrictions below) at the Delivery Point.</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Control Area (150 MWs) and ENCA Control Area (100 MWs)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a)</w:t>
      </w:r>
      <w:r>
        <w:rPr>
          <w:b/>
          <w:sz w:val="24"/>
        </w:rPr>
        <w:t xml:space="preserve"> </w:t>
      </w:r>
      <w:r>
        <w:rPr>
          <w:sz w:val="24"/>
        </w:rPr>
        <w:t>For Energy Block A:</w:t>
      </w:r>
      <w:r>
        <w:rPr>
          <w:b/>
          <w:sz w:val="24"/>
        </w:rPr>
        <w:t xml:space="preserve"> </w:t>
      </w:r>
      <w:r>
        <w:rPr>
          <w:sz w:val="24"/>
        </w:rPr>
        <w:t>100 MW @</w:t>
      </w:r>
      <w:r>
        <w:rPr>
          <w:b/>
          <w:sz w:val="24"/>
        </w:rPr>
        <w:t xml:space="preserve"> </w:t>
      </w:r>
      <w:r>
        <w:rPr>
          <w:sz w:val="24"/>
        </w:rPr>
        <w:t>$7.75 / kw-month for each calendar month of the Block A Period of Delivery.</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sz w:val="24"/>
        </w:rPr>
      </w:pPr>
      <w:r>
        <w:rPr>
          <w:sz w:val="24"/>
        </w:rPr>
        <w:tab/>
        <w:tab/>
        <w:tab/>
        <w:t xml:space="preserve">b) For Energy Block B:  150 MW @ $7.75 / kw-month for each calendar month of the Block B Period of Delivery. </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a) For Energy Block A, 100 MW, $128.00/MWh (inclusive of  losses) for Monday through Friday, all hours Hour Ending (“HE”) 0700 through HE 2200 CPT, during the Block A Period of Delivery, excluding NERC holidays.</w:t>
      </w:r>
      <w:r>
        <w:rPr>
          <w:b/>
          <w:sz w:val="24"/>
        </w:rPr>
        <w:tab/>
        <w:tab/>
        <w:tab/>
      </w:r>
    </w:p>
    <w:p>
      <w:pPr>
        <w:pStyle w:val="Normal"/>
        <w:widowControl/>
        <w:tabs>
          <w:tab w:val="left" w:pos="720" w:leader="none"/>
          <w:tab w:val="left" w:pos="1440" w:leader="none"/>
        </w:tabs>
        <w:ind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ab/>
        <w:tab/>
        <w:tab/>
      </w:r>
      <w:r>
        <w:rPr>
          <w:sz w:val="24"/>
        </w:rPr>
        <w:t>For Energy Block A, 100 MW, in all other hours during the Block A Period of Delivery , the Energy Price shall be at EPMI’s market price.</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t>b) For Energy Block B, 150 MW, $15.00/MWh, optional scheduling (see “Scheduling” under Other below) during the Block B Period of Delivery , HE 0100 through HE 2400.</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left" w:pos="720" w:leader="none"/>
          <w:tab w:val="left" w:pos="1440" w:leader="none"/>
        </w:tabs>
        <w:ind w:hanging="2160" w:start="2160" w:end="0"/>
        <w:jc w:val="both"/>
        <w:rPr>
          <w:sz w:val="24"/>
        </w:rPr>
      </w:pPr>
      <w:r>
        <w:rPr>
          <w:b/>
          <w:sz w:val="24"/>
        </w:rPr>
        <w:tab/>
        <w:tab/>
        <w:tab/>
        <w:tab/>
        <w:tab/>
        <w:tab/>
      </w:r>
    </w:p>
    <w:p>
      <w:pPr>
        <w:pStyle w:val="Normal"/>
        <w:widowControl/>
        <w:tabs>
          <w:tab w:val="clear" w:pos="720"/>
          <w:tab w:val="left" w:pos="1440" w:leader="none"/>
        </w:tabs>
        <w:ind w:hanging="2160" w:start="2160" w:end="0"/>
        <w:jc w:val="both"/>
        <w:rPr/>
      </w:pPr>
      <w:r>
        <w:rPr>
          <w:b/>
          <w:sz w:val="24"/>
        </w:rPr>
        <w:t>Period of Delivery:</w:t>
      </w:r>
      <w:r>
        <w:rPr>
          <w:sz w:val="24"/>
        </w:rPr>
        <w:tab/>
        <w:t xml:space="preserve">June 1, 2000 through September 30, 2000, comprising the combined Block A Period of Delivery and the Block B Period of Delivery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tab/>
      </w:r>
      <w:r>
        <w:rPr>
          <w:sz w:val="24"/>
          <w:u w:val="single"/>
        </w:rPr>
        <w:t>Scheduling</w:t>
      </w:r>
      <w:r>
        <w:rPr>
          <w:sz w:val="24"/>
        </w:rPr>
        <w:t>:  Energy Block A: For each day within the Block A Delivery Period  NSP may elect to purchase and schedule any portion of the 100 MW of Energy associated with the applicable amount of Capacity (at the prices listed in Section a of Energy Price), if such Energy purchases are scheduled in accordance with the terms of this Confirmation.    EPMI warrants that energy associated with this Participation Power shall be available to NSP on at least a 20% monthly capacity factor.  NSP must notify EPMI of its desire to purchase such Energy Block A Energy and must complete its purchase by 1000 CPT on the Business Day prior to the delivery day.</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t>Energy Block B: In addition to and not in lieu of NSP’s purchases of Energy Block A pursuant to the above paragraph, for any hour within the Block B Period of Delivery, NSP may elect to purchase and schedule any portion of the  150 MW of Energy Block B associated with the applicable amount of Capacity (at the price listed in Section b of Energy Price) if such Energy purchases are scheduled in accordance with the terms of this Confirmation.  NSP must notify EPMI of its desire to purchase such Energy Block B Energy and must complete its purchase  no later than 1000 CPT on the day before the delivery date.</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Energy scheduled with NSP is firm.  If NSP elects to purchase Energy hereunder, EPMI shall be obligated to deliver Energy to NSP at the Delivery Point except in the event that (i) EPMI's firm transmission from the scheduled Capacity Source to the Delivery Point is cut or otherwise curtailed; or (ii) the scheduled Capacity Source is unavailable for any reason which would constitute Uncontrollable Forces as defined in the MAPP Restated Agreement dated January 12, 1996, in which case EPMI shall not be obligated to deliver Energy to NSP for the duration of such event(s). Notwithstanding the foregoing, EPMI has the right, but not the obligation, to provide Energy from sources other than the Capacity Source and to any non-designated NSP network interface other than the Delivery Point (any such interface,  "Other Delivery Point") provided, NSP must be able to accept the Energy at such Other Delivery Point as determined at the time of scheduling hereunder.  If EPMI is unable to deliver Energy to such Other Delivery Point, EPMI shall be obligated to provide Energy from the Capacity Source (subject to the provisions set forth in the second sentence above).  Subject to specific provisions of Section 4, Demand Charges shall be due regardless of delivery and receipt of Energy, or the availability of Energy from the Capacity Source. </w:t>
      </w:r>
    </w:p>
    <w:p>
      <w:pPr>
        <w:pStyle w:val="Normal"/>
        <w:widowControl/>
        <w:tabs>
          <w:tab w:val="clear" w:pos="720"/>
          <w:tab w:val="left" w:pos="1440" w:leader="none"/>
        </w:tabs>
        <w:jc w:val="both"/>
        <w:rPr>
          <w:sz w:val="24"/>
          <w:u w:val="single"/>
        </w:rPr>
      </w:pPr>
      <w:r>
        <w:rPr>
          <w:sz w:val="24"/>
          <w:u w:val="single"/>
        </w:rPr>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3.</w:t>
        <w:tab/>
      </w:r>
      <w:r>
        <w:rPr>
          <w:sz w:val="24"/>
          <w:u w:val="single"/>
        </w:rPr>
        <w:t>Transmission and Losses</w:t>
      </w:r>
      <w:r>
        <w:rPr>
          <w:sz w:val="24"/>
        </w:rPr>
        <w:t xml:space="preserve">:  Energy Block A: EPMI shall be responsible for any transmission charges associated with transmitting Energy Block A Energy to the Delivery Point or the Other Delivery Points, as the case may be.  NSP shall be responsible for any transmission charges and losses associated with transmitting Energy Block A Energy at and from the Delivery Point, or the Other Delivery Point as the case may be.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u w:val="single"/>
        </w:rPr>
      </w:pPr>
      <w:r>
        <w:rPr>
          <w:sz w:val="24"/>
        </w:rPr>
        <w:tab/>
        <w:tab/>
        <w:t>Energy Block B:  EPMI shall be responsible for any transmission charges associated with transmitting Energy Block B Energy to the Delivery Point or the Other Delivery Points, as the case may be, and NSP shall be responsible for any transmission charges associated with transmitting Energy Block B Energy at and from the Delivery Point.  All losses associated with transmitting Energy Block B Energy to Sherco Gen from the Delivery Point will be the responsibility of EPMI and shall be calculated at NSP’s system average loss percentage of 2.4%, as reflected in the Energy Price in Confirmation No. 2 between NSP (seller) and EPMI (buyer) dated April ___, 2000.</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sz w:val="24"/>
        </w:rPr>
        <w:tab/>
        <w:tab/>
        <w:t>4.</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 and if confirmed) and (ii) upon NSP securing firm network transmission from the specific Delivery Point referenced herein, and (iii) upon the Capacity purchased and sold hereunder being approved as Accredited Capacity in accordance with MAPP procedures governing the accreditation of capacity, and (iv) </w:t>
      </w:r>
      <w:del w:id="0" w:author="dportz" w:date="2000-04-12T16:55:00Z">
        <w:r>
          <w:rPr>
            <w:sz w:val="24"/>
          </w:rPr>
          <w:delText xml:space="preserve">the Energy Block B portion of this Transaction is also contingent upon </w:delText>
        </w:r>
      </w:del>
      <w:ins w:id="1" w:author="dportz" w:date="2000-04-12T16:55:00Z">
        <w:r>
          <w:rPr>
            <w:sz w:val="24"/>
          </w:rPr>
          <w:t xml:space="preserve">upon </w:t>
        </w:r>
      </w:ins>
      <w:r>
        <w:rPr>
          <w:sz w:val="24"/>
        </w:rPr>
        <w:t xml:space="preserve">EPMI securing MAPP monthly firm transmission </w:t>
      </w:r>
      <w:ins w:id="2" w:author="dportz" w:date="2000-04-12T16:56:00Z">
        <w:r>
          <w:rPr>
            <w:sz w:val="24"/>
          </w:rPr>
          <w:t xml:space="preserve">for the Energy Block B Energy </w:t>
        </w:r>
      </w:ins>
      <w:r>
        <w:rPr>
          <w:sz w:val="24"/>
        </w:rPr>
        <w:t>from Sherco Gen to Great River Energy for the Block B Delivery Period</w:t>
      </w:r>
      <w:del w:id="3" w:author="dportz" w:date="2000-04-12T17:48:00Z">
        <w:r>
          <w:rPr>
            <w:sz w:val="24"/>
          </w:rPr>
          <w:delText>.</w:delText>
        </w:r>
      </w:del>
      <w:r>
        <w:rPr>
          <w:sz w:val="24"/>
        </w:rPr>
        <w:t xml:space="preserve"> (together, the "Conditions Precedent").   If for any reason </w:t>
      </w:r>
      <w:ins w:id="4" w:author="dportz" w:date="2000-04-12T16:56:00Z">
        <w:r>
          <w:rPr>
            <w:sz w:val="24"/>
          </w:rPr>
          <w:t xml:space="preserve">any of </w:t>
        </w:r>
      </w:ins>
      <w:r>
        <w:rPr>
          <w:sz w:val="24"/>
        </w:rPr>
        <w:t xml:space="preserve">the Conditions Precedent are not satisfied before May 15, 2000, then this Transaction </w:t>
      </w:r>
      <w:ins w:id="5" w:author="dportz" w:date="2000-04-12T16:56:00Z">
        <w:r>
          <w:rPr>
            <w:sz w:val="24"/>
          </w:rPr>
          <w:t xml:space="preserve">in its entirety </w:t>
        </w:r>
      </w:ins>
      <w:r>
        <w:rPr>
          <w:sz w:val="24"/>
        </w:rPr>
        <w:t xml:space="preserve">shall automatically terminate as to the Parties’ commitments hereunder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individual months of transmission purchased as to the affected portion of transmission.  In addition, if EPMI chooses to exercise this right, EPMI shall be responsible for all additional transmission costs.  If EPMI declines to exercise this right, NSP shall not be obligated to pay any subsequently accruing Demand Charges and both Parties shall be relieved of their commitments under this Transaction without liability of either Party.  Any monthly Demand Charges paid by NSP for the Period of Delivery shall be promptly refunded by EPMI on a pro-rata basis reflecting the number of days that Capacity was committed hereunder within that month versus the number of days that the commitment of Capacity was relieved within that month. </w:t>
      </w:r>
    </w:p>
    <w:p>
      <w:pPr>
        <w:pStyle w:val="BodyTextIndent2"/>
        <w:ind w:start="2160" w:end="0"/>
        <w:rPr/>
      </w:pPr>
      <w:r>
        <w:rPr/>
        <w:tab/>
      </w:r>
    </w:p>
    <w:p>
      <w:pPr>
        <w:pStyle w:val="Normal"/>
        <w:widowControl/>
        <w:tabs>
          <w:tab w:val="clear" w:pos="720"/>
          <w:tab w:val="left" w:pos="1440" w:leader="none"/>
        </w:tabs>
        <w:ind w:hanging="2160" w:start="2160" w:end="0"/>
        <w:jc w:val="both"/>
        <w:rPr/>
      </w:pPr>
      <w:r>
        <w:rPr>
          <w:sz w:val="24"/>
        </w:rPr>
        <w:tab/>
        <w:tab/>
        <w:t xml:space="preserve">5.  </w:t>
        <w:tab/>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sz w:val="24"/>
        </w:rPr>
      </w:pPr>
      <w:r>
        <w:rPr>
          <w:sz w:val="24"/>
        </w:rPr>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tab/>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tab/>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sz w:val="24"/>
        </w:rPr>
      </w:pPr>
      <w:r>
        <w:rPr>
          <w:sz w:val="24"/>
        </w:rPr>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tab/>
      </w:r>
      <w:r>
        <w:rPr>
          <w:sz w:val="24"/>
          <w:u w:val="single"/>
        </w:rPr>
        <w:t>Arbitration</w:t>
      </w:r>
      <w:r>
        <w:rPr>
          <w:sz w:val="24"/>
        </w:rPr>
        <w:t>: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9.</w:t>
        <w:tab/>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10.</w:t>
        <w:tab/>
      </w:r>
      <w:r>
        <w:rPr>
          <w:u w:val="single"/>
        </w:rPr>
        <w:t>Governing Terms</w:t>
      </w:r>
      <w:r>
        <w:rPr/>
        <w:t xml:space="preserve">: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 </w:t>
      </w:r>
      <w:r>
        <w:br w:type="page"/>
      </w:r>
    </w:p>
    <w:p>
      <w:pPr>
        <w:pStyle w:val="BodyText"/>
        <w:widowControl/>
        <w:ind w:start="2160" w:end="0"/>
        <w:jc w:val="both"/>
        <w:rPr/>
      </w:pPr>
      <w:r>
        <w:rPr/>
      </w:r>
    </w:p>
    <w:p>
      <w:pPr>
        <w:pStyle w:val="BodyText"/>
        <w:widowControl/>
        <w:jc w:val="both"/>
        <w:rPr/>
      </w:pPr>
      <w:r>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pPr>
      <w:r>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/mnt/main-storage/datasets/enron-docs/doc/NSP_confirm_no_1_12Apr.doc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2000-04-12T19:18:00Z</dcterms:created>
  <dc:creator>ECT</dc:creator>
  <dc:description/>
  <dc:language>en-CA</dc:language>
  <cp:lastModifiedBy>dportz</cp:lastModifiedBy>
  <cp:lastPrinted>2000-04-12T17:43:00Z</cp:lastPrinted>
  <dcterms:modified xsi:type="dcterms:W3CDTF">2000-04-12T20:22:00Z</dcterms:modified>
  <cp:revision>5</cp:revision>
  <dc:subject/>
  <dc:title>Internal draft dated 1-25-99; Please see my bracketed questions</dc:title>
</cp:coreProperties>
</file>