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November 7,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A.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CONFIRMATION LETTER A</w:t>
      </w:r>
    </w:p>
    <w:p>
      <w:pPr>
        <w:pStyle w:val="Normal"/>
        <w:widowControl/>
        <w:rPr>
          <w:sz w:val="24"/>
        </w:rPr>
      </w:pPr>
      <w:r>
        <w:rPr>
          <w:sz w:val="24"/>
        </w:rPr>
      </w:r>
    </w:p>
    <w:p>
      <w:pPr>
        <w:pStyle w:val="BodyText"/>
        <w:widowControl/>
        <w:tabs>
          <w:tab w:val="clear" w:pos="720"/>
          <w:tab w:val="clear" w:pos="1440"/>
        </w:tabs>
        <w:jc w:val="both"/>
        <w:rPr/>
      </w:pPr>
      <w:r>
        <w:rPr/>
        <w:t>This Confirmation Letter A ("Confirmation") shall confirm the agreement reached on November 7, 2000, between Northern States Power Company ("NSP") and Enron Power Marketing, Inc. ("EPMI"), regarding the purchase and sale of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Firm Energy with Liquidated Damages (“Energy”) – sold under Mid-Continent Area Power Pool (“MAPP”) Schedule M, as modified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100 MW per hour of Energy, subject to scheduling restrictions below, and the following provisions of this paragraph.  To the extent that Buyer schedules Energy from Seller under the fixed price provisions pertaining to Energy (the “Peak Period Energy”) of the Confirmation Letter, between Buyer and Seller, dated November 7, 2000 (“Confirmation No. 1”), Buyer shall not be able to schedule Energy on such day pursuant to this Confirmation, and for each MWh of Peak Period Energy scheduled by Buyer under Confirmation No. 1, the Contract Quantity available for Buyer to schedule hereunder shall be reduced by an equal number of MWh.  In no event may the aggregate quantity of Energy purchased under this Confirmation in combination with Peak Period Energy purchased under Confirmation No. 1 be less than or exceed 100 MW.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$107.00 per MWh</w:t>
      </w:r>
    </w:p>
    <w:p>
      <w:pPr>
        <w:pStyle w:val="BodyTextIndent3"/>
        <w:rPr/>
      </w:pPr>
      <w:r>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Monday through Friday, from hour ending ("HE") 0700 through HE 2200 CPT during the period June 1, 2001 through August 31, 2001, excluding NERC holidays.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Subject to the provisions of “Contract Quantity“ above, NSP must purchase and schedule 100 MW of Energy for each hour in the Period of Delivery.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sz w:val="24"/>
        </w:rPr>
      </w:pPr>
      <w:r>
        <w:rPr>
          <w:sz w:val="24"/>
        </w:rPr>
        <w:tab/>
        <w:tab/>
        <w:t xml:space="preserve">All Energy must be scheduled by NSP and EPMI by 1100 CPT on the Business Day prior to the delivery day. </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Energy scheduled with NSP is firm. EPMI shall be obligated to deliver Energy to NSP at the Delivery Point except as excused by  Force Majeure (as defined below) or in the event that EPMI’s firm transmission to the Delivery Point is cut or otherwise curtailed by MAPP LLR or NERC TLR.                            </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start="2160" w:end="0"/>
        <w:jc w:val="both"/>
        <w:rPr>
          <w:sz w:val="24"/>
        </w:rPr>
      </w:pPr>
      <w:r>
        <w:rPr>
          <w:sz w:val="24"/>
        </w:rPr>
        <w:t>For the purposes of this Confirmation, Force Majeure shall mean an event or circumstance which prevents one Party from performing its obligations under this Transaction, which event or circumstance is not the result of the negligence of the Party claiming Force Majeure (the “Claiming Party”), and which, by exercise of due diligence, the Claiming Party is unable to overcome in a commercially reasonable manner.  Force Majeure shall not be based on (i) the loss of Buyer’s markets; (ii) Buyer’s inability economically to use or resell the Product purchased hereunder; (iii) the loss or failure of Seller’s supply; or (iv) Seller’s ability to sell the Commodity at a price greater than the Energy Price.  An event which is an “Uncontrollable Force” as defined in the MAPP Restated Agreement, but is not a Force Majeure event as defined above, shall not be an excuse for non-performance hereunder. In case of an event of Force Majeure, as defined above, EPMI shall not be obligated to deliver Energy to NSP for the duration of such event.</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sz w:val="24"/>
        </w:rPr>
      </w:pPr>
      <w:r>
        <w:rPr>
          <w:sz w:val="24"/>
        </w:rPr>
        <w:t xml:space="preserve">Notwithstanding the foregoing, EPMI has the right, but not the obligation, to provide Energy to any non-designated NSP interface other than the Delivery Point, provided that EPMI shall notify NSP of potential delivery point(s) at least one hour prior to scheduling for daily scheduling and at least 30 minutes prior to the hour for hourly scheduling, and NSP will respond to EPMI in no later than 30 minutes for daily scheduling, and immediately for hourly scheduling, designating those delivery point(s) at which NSP would be unwilling to take delivery, (no interface shall be unreasonably eliminated by NSP, and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at the Delivery Point, or where the Parties have agreed, following NSP’s request, at an available TVA interface designated by the Parties for delivery and receipt of Energy (subject to the provisions regarding Force Majeure set forth above).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Liquidated Damages</w:t>
      </w:r>
      <w:r>
        <w:rPr>
          <w:sz w:val="24"/>
        </w:rPr>
        <w:t>.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Energy Price from the Replacement Price.  Unless excused by Force Majeure or Seller’s failure to perform, if Buyer fails to schedule and/or receive all or part of the Contract Quantity it is required to receive from Seller under this Confirmation, Buyer shall pay Seller an amount for each unit of Energy in such deficiency equal to the positive difference, if any, obtained by subtracting the Sales Price from the Energy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For purposes hereof, "Replacement Price"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the Delivery Point as determined by Buyer in a commercially reasonable manner; provided, however, in no event shall the Replacement Price include any penalties, ratcheted demand or similar charges or any stranded costs. For purposes hereof, "Sales Price" means the price at which Seller, acting in a commercially reasonable manner, resells or would be able to resell (if at all), the Energy not received by Buyer.  The remedy set forth in this Section shall be the sole and exclusive remedy of the aggrieved Party for the failure to schedule or deliver or receive the Contract Quantity of Energy and all other damages are waived.</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4.  </w:t>
      </w:r>
      <w:r>
        <w:rPr>
          <w:sz w:val="24"/>
          <w:u w:val="single"/>
        </w:rPr>
        <w:t>Transmission and Losses</w:t>
      </w:r>
      <w:r>
        <w:rPr>
          <w:sz w:val="24"/>
        </w:rPr>
        <w:t xml:space="preserve">:  EPMI shall be responsible for any transmission charges associated and losses with transmitting Energy to the Delivery Point or the Other Delivery Points, as the case may be, except as provided under Section 5 hereof when and to the extent that NSP has elected to take assignment of all or any portion of the 12 month transmission procured by EPMI.  NSP shall be responsible for any transmission charges and losses associated with transmitting Energy at and from the Delivery Point, the Other Delivery Point, or at an available TVA interface (following arrangements made between the Parties pursuant to Section 2 hereof), as the case may be, and to the Delivery Point when and to the extent that NSP has elected to take assignment of all or any portion of the 12 month transmission procured by EPMI as provided under Section 5 hereof.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5.</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transmission system, OASIS numbers 631377, 631378, 631379, 631380, 631381, and 631382 and monthly firm transmission on TVA transmission system, OASIS numbers 631428, 631429, 631430, 631431, 631432, and 631433) (or alternatively, if EPMI is unable to secure firm transmission for the complete TVA/Ameren Path, EPMI may use its best commercial efforts to redirect previously reserved but unused/unallocated firm transmission and to otherwise procure firm transmission to provide for delivery hereunder to NSP at the Delivery Point by an alternate transmission path, provided however that to the extent that the total costs of such alternative transmission arrangements exceed the total costs of the TVA/Ameren Path determined as of the date of execution hereof, EPMI may request NSP to timely elect whether it will pay such additional costs to provide for receipt of Energy hereunder. However, absent NSP’s Party’s affirmative election to pay such additional costs, EPMI shall not be responsible for redirecting or procuring such alternative transmission or bearing any such additional costs to facilitate delivery and receipt of Energy hereunder), and (ii) upon NSP securing firm network transmission from the specific Delivery Point referenced herein and (iii) upon the Capacity purchased and sold under the Confirmation No. 1 being approved as Accredited Capacity in accordance with MAPP procedures governing the accreditation of capacity and reserves (the "Conditions Precedent").  If for any reason any of the Conditions Precedent are not satisfied before April 1, 2001 then this Transaction in its entirety shall automatically terminate as to the Parities’ commitments hereunder for the Period of Delivery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individual months of transmission purchased as to the affected portion of the transmission.  In addition, if EPMI chooses to exercise this right, EPMI shall be responsible for all additional applicable costs, including transmission costs and losses.  If EPMI declines to exercise this right, NSP shall have the right to request EPMI to purchase such twelve months of transmission, if available, solely at NSP’s cost, and EPMI shall thereupon assign the remaining months of such transmission so purchased to NSP, provided that such assigned transmission shall be used to support the transaction under this Confirmation to the full extent necessary, and NSP shall bear all risks of cuts and curtailment with respect to such assigned transmission. If EPMI declines to exercise its right stated above to purchase twelve months of transmission, and NSP does not exercise its right hereunder to take assignment thereof, then both Parties shall be relieved of their commitments under this Confirmation as to the affected portion of the Period of Delivery without liability of either Party. </w:t>
      </w:r>
    </w:p>
    <w:p>
      <w:pPr>
        <w:pStyle w:val="BodyTextIndent2"/>
        <w:ind w:start="2160" w:end="0"/>
        <w:rPr>
          <w:sz w:val="24"/>
        </w:rPr>
      </w:pPr>
      <w:r>
        <w:rPr>
          <w:sz w:val="24"/>
        </w:rPr>
      </w:r>
    </w:p>
    <w:p>
      <w:pPr>
        <w:pStyle w:val="Normal"/>
        <w:widowControl/>
        <w:tabs>
          <w:tab w:val="clear" w:pos="720"/>
          <w:tab w:val="left" w:pos="1440" w:leader="none"/>
        </w:tabs>
        <w:ind w:hanging="2160" w:start="2160" w:end="0"/>
        <w:jc w:val="both"/>
        <w:rPr/>
      </w:pPr>
      <w:r>
        <w:rPr>
          <w:sz w:val="24"/>
        </w:rPr>
        <w:tab/>
        <w:tab/>
        <w:t xml:space="preserve">6.  </w:t>
      </w:r>
      <w:r>
        <w:rPr>
          <w:sz w:val="24"/>
          <w:u w:val="single"/>
        </w:rPr>
        <w:t>Events of Default and Remedies</w:t>
      </w:r>
      <w:r>
        <w:rPr>
          <w:sz w:val="24"/>
        </w:rPr>
        <w:t xml:space="preserve">:  (a) An event of default ("Event of Default") shall exclude those events specifically treated with liquidated damages under Section 3 hereof, but shall mean the following:  (i) the failure by the Defaulting Party to make, when due, any payment required under this Confirmation or Confirmation No.1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(defined below).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(or the Other Delivery Point as the case may be).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(or the Other Delivery Point as the case may be),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9.  </w:t>
      </w:r>
      <w:r>
        <w:rPr>
          <w:sz w:val="24"/>
          <w:u w:val="single"/>
        </w:rPr>
        <w:t>Arbitration</w:t>
      </w:r>
      <w:r>
        <w:rPr>
          <w:sz w:val="24"/>
        </w:rPr>
        <w:t>: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10.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11.  </w:t>
      </w:r>
      <w:r>
        <w:rPr>
          <w:u w:val="single"/>
        </w:rPr>
        <w:t>Governing Terms</w:t>
      </w:r>
      <w:r>
        <w:rPr/>
        <w:t>:  This Confirmation is being provided pursuant to and in accordance with the MAPP Restated Agreement dated January 12, 1996 (the "Enabling Agreement") executed by EPMI and NSP together with MAPP Service Schedule M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M, or Confirmation No. 1, the provisions of this Confirmation shall control</w:t>
      </w:r>
      <w:r>
        <w:rPr>
          <w:color w:val="0000FF"/>
        </w:rPr>
        <w:t>.</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left" w:pos="720" w:leader="none"/>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2000-11-07T13:32:00Z</dcterms:created>
  <dc:creator>ECT</dc:creator>
  <dc:description/>
  <dc:language>en-CA</dc:language>
  <cp:lastModifiedBy>dportz</cp:lastModifiedBy>
  <cp:lastPrinted>2000-10-31T09:43:00Z</cp:lastPrinted>
  <dcterms:modified xsi:type="dcterms:W3CDTF">2000-11-07T13:39:00Z</dcterms:modified>
  <cp:revision>4</cp:revision>
  <dc:subject/>
  <dc:title>Internal draft dated 1-25-99; Please see my bracketed questions</dc:title>
</cp:coreProperties>
</file>