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
    </w:p>
    <w:p>
      <w:pPr>
        <w:pStyle w:val="Normal"/>
        <w:spacing w:lineRule="auto" w:line="480"/>
        <w:rPr>
          <w:b/>
        </w:rPr>
      </w:pPr>
      <w:r>
        <w:rPr>
          <w:b/>
        </w:rPr>
        <w:t>DRAFT 8/1/00</w:t>
      </w:r>
    </w:p>
    <w:p>
      <w:pPr>
        <w:pStyle w:val="Normal"/>
        <w:spacing w:lineRule="auto" w:line="480"/>
        <w:rPr/>
      </w:pPr>
      <w:r>
        <w:rPr/>
        <w:tab/>
        <w:tab/>
        <w:t>On March 2, 1998, Claimant's predecessor, ECT Securities Corp. ("ECTSC"), along with three other parties (together with ECTSC, the "Purchasers"), entered into a Purchase Agreement (the "Purchase Agreement") with Nakornthai Strip Mill Public Company Limited ("NSM"), and two of its direct or indirect subsidiaries (the "Note Issuers" and, together with NSM, the "Issuers"), whereby the Note Issuers agreed to issue and sell to the Initial Purchasers, and the Initial Purchasers agreed to buy from the Note Issuers, $249,000,000 aggregate principal amount at maturity of 12% Senior Mortgage Notes Due 2006 guaranteed by NSM (the "Senior Notes"), $203,500,000 aggregate principal amount at maturity of 12 ¼  Senior Subordinated Mortgage Notes Due 2008 guaranteed by NSM (the "Senior Subordinated Notes"), and warrants to purchase 128,834,356 ordinary shares, par value 10 Baht per share, of NSM (the "Warrants" and, together with the Senior Notes and the Senior Subordinated Notes, the "NSM Securities").  See Purchase Agreement, Section 1.  A copy of the Purchase Agreement is attached hereto as Exhibit A.</w:t>
      </w:r>
    </w:p>
    <w:p>
      <w:pPr>
        <w:pStyle w:val="Normal"/>
        <w:spacing w:lineRule="auto" w:line="480"/>
        <w:rPr/>
      </w:pPr>
      <w:r>
        <w:rPr/>
        <w:tab/>
        <w:tab/>
        <w:t>The Purchase Agreement contemplated that the Purchasers would resell the NSM Securities by means of an Offering Document prepared by the Issuers and which the Issuers represented to the Purchasers was true and complete.  See Purchase Agreement, Section 2(a).  Further in the Purchase Agreement, the Issuers jointly and severally indemnified each of the Purchasers, including ECTSC, from any losses, claims, damages, or liabilities, arising out of any untrue statement in, or material omission from, the Offering Document, except for information supplied by Purchasers.  See Purchase Agreement, Section 7.</w:t>
      </w:r>
    </w:p>
    <w:p>
      <w:pPr>
        <w:pStyle w:val="Normal"/>
        <w:spacing w:lineRule="auto" w:line="480"/>
        <w:rPr/>
      </w:pPr>
      <w:r>
        <w:rPr/>
        <w:tab/>
        <w:tab/>
        <w:t>Subsequent to the execution of the Purchase Agreement, Claimant succeeded to all of the rights of ECTSC under the Purchase Agreement.  See Purchase Agreement, Section 11.</w:t>
      </w:r>
    </w:p>
    <w:p>
      <w:pPr>
        <w:pStyle w:val="Normal"/>
        <w:spacing w:lineRule="auto" w:line="480"/>
        <w:ind w:firstLine="1440" w:end="0"/>
        <w:rPr/>
      </w:pPr>
      <w:r>
        <w:rPr/>
        <w:t>During 1999, two lawsuits were filed in the United States, State of California, against Claimant, the other Purchasers, and others, by plaintiffs who had purchased Securities from one or more of the Purchasers allegedly on the basis of the Offering Document, which the plaintiffs alleged had been false and had caused the plaintiffs to lose millions of dollars (the "California Suits").  One of the California Suits (the "Farallon/Oaktree Suit") was brought by two groups of plaintiffs, Farallon ……</w:t>
      </w:r>
      <w:r>
        <w:rPr>
          <w:b/>
        </w:rPr>
        <w:t>[sabina, fill in all Farallon Ps, but not the Oaktree Ps]</w:t>
      </w:r>
      <w:r>
        <w:rPr/>
        <w:t xml:space="preserve"> …. (the "Farallon Plaintiffs") and …</w:t>
      </w:r>
      <w:r>
        <w:rPr>
          <w:b/>
        </w:rPr>
        <w:t>[oaktree Ps]</w:t>
      </w:r>
      <w:r>
        <w:rPr/>
        <w:t>….(the "Oaktree Plaintiffs").   The Farallon Plaintiffs seeks damages of $_____________; the Oaktree Plaintiffs seek damages of $____________.  The Oaktree Plaintiffs have subsequently dismissed Claimant from the Farallon/Oaktree Suit but are still pursuing their claims against the other defendants; the Farallon Plaintiffs are pursuing their claims against all defendants, including Claimant.  A copy of the First Amended Complaint in the Farallon/Oaktree Suit is attached hereto as Exhibit B</w:t>
      </w:r>
    </w:p>
    <w:p>
      <w:pPr>
        <w:pStyle w:val="Normal"/>
        <w:spacing w:lineRule="auto" w:line="480"/>
        <w:ind w:firstLine="1440" w:end="0"/>
        <w:rPr/>
      </w:pPr>
      <w:r>
        <w:rPr/>
        <w:t>The other California Suit (the "Legg Mason Suit") was brought by   ……….….(the "Legg Mason Plaintiffs").  The Legg Mason Plaintiffs seek damages of $________.  A copy of the First Amended Complaint in the Legg Mason Suit is attached hereto as Exhibit C.</w:t>
      </w:r>
    </w:p>
    <w:p>
      <w:pPr>
        <w:pStyle w:val="Normal"/>
        <w:spacing w:lineRule="auto" w:line="480"/>
        <w:ind w:firstLine="1440" w:end="0"/>
        <w:rPr/>
      </w:pPr>
      <w:r>
        <w:rPr/>
        <w:t xml:space="preserve">Although Claimant believes that it has meritorious defenses to the plaintiffs' claims in the California Suits, Claimant in theory could incur judgments, either in favor of the plaintiffs or possibly in favor of other defendants against Claimant for indemnification or contribution, if any defendants pursue such claims, up to the total amount of damages sought by all plaintiffs in the California Suits, </w:t>
      </w:r>
      <w:r>
        <w:rPr>
          <w:i/>
        </w:rPr>
        <w:t>i.e.</w:t>
      </w:r>
      <w:r>
        <w:rPr/>
        <w:t>, $__________ .  In addition, Claimant is incurring attorneys fees and costs to defend the California Actions.  Through June 30, 2000, such fees and costs totalled $____________.  The additional fees and costs to take the California Suits to trial, not including appeals, could easily be another $1 million.</w:t>
      </w:r>
    </w:p>
    <w:p>
      <w:pPr>
        <w:pStyle w:val="Normal"/>
        <w:spacing w:lineRule="auto" w:line="480"/>
        <w:ind w:firstLine="1440" w:end="0"/>
        <w:rPr/>
      </w:pPr>
      <w:r>
        <w:rPr/>
        <w:t>Under the Purchase Agreement, and under the statutory and common law of the United States and the State of California, Claimant is entitled to complete or partial indemnification or contribution from each of the Issuers, including NSM, with respect to any judgment suffered by Claimant in either California Suit and all costs of defending each suit.</w:t>
      </w:r>
    </w:p>
    <w:p>
      <w:pPr>
        <w:pStyle w:val="Normal"/>
        <w:spacing w:lineRule="auto" w:line="480"/>
        <w:ind w:firstLine="1440" w:end="0"/>
        <w:rPr/>
      </w:pPr>
      <w:r>
        <w:rPr/>
        <w:t>In addition to the California Suits, other plaintiffs who purchased NSM Securities have brought a total of _____ additional suits (the "Additional Suits") against defendants other than Claimant and are seeking a total of $__________ in damages based on alleged falsifications in the Offering Document.  Copies of the complaints in the Additional Suits are attached hereto as Exhibits D, __, __, __, and __.  While none of the plaintiffs in the Additional Suits have named Claimant, or any of its affiliates, as a defendant, the time for plaintiffs' doing so may not have lapsed.  In addition, one or more of the defendants in the Additional Suits might seek indemnification and/or contribution from Claimant.  In theory, Claimants' exposure could be as high as $___________ plus the costs of defense were Claimants brought into any of the Additional Suits.</w:t>
      </w:r>
    </w:p>
    <w:p>
      <w:pPr>
        <w:pStyle w:val="Normal"/>
        <w:spacing w:lineRule="auto" w:line="480"/>
        <w:ind w:firstLine="1440" w:end="0"/>
        <w:rPr/>
      </w:pPr>
      <w:r>
        <w:rPr/>
        <w:t xml:space="preserve">Under the Purchase Agreement, and under the statutory and common law of the United States and the State of California, Claimant is entitled to complete or partial indemnification or contribution from each of the Issuers, including NSM, with respect to any judgment suffered by Claimant in any of the Additional Suits and all costs of defending such suits.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D:\TEMP\NSM Claim2.doc</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8:58 AM</w:t>
    </w:r>
    <w:r>
      <w:rPr>
        <w:rStyle w:val="zzmpTrailerItem"/>
      </w:rPr>
      <w:fldChar w:fldCharType="end"/>
    </w:r>
    <w: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D:\TEMP\NSM Claim2.doc</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8:58 AM</w:t>
    </w:r>
    <w:r>
      <w:rPr>
        <w:rStyle w:val="zzmpTrailerItem"/>
      </w:rPr>
      <w:fldChar w:fldCharType="end"/>
    </w:r>
    <w:r>
      <w:rPr/>
      <w:t xml:space="preserve"> </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D:\TEMP\NSM Claim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3"/>
      </w:numPr>
      <w:spacing w:before="240" w:after="240"/>
      <w:outlineLvl w:val="0"/>
    </w:pPr>
    <w:rPr>
      <w:cap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2000-08-02T02:34:00Z</dcterms:created>
  <dc:creator>SHoward</dc:creator>
  <dc:description/>
  <dc:language>en-CA</dc:language>
  <cp:lastModifiedBy>SHoward</cp:lastModifiedBy>
  <dcterms:modified xsi:type="dcterms:W3CDTF">2000-08-02T04:47:00Z</dcterms:modified>
  <cp:revision>7</cp:revision>
  <dc:subject/>
  <dc:title>Word 8.0 Generic Normal Template, rev. 4/1/97, The Legal MacPac</dc:title>
</cp:coreProperties>
</file>