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bCs/>
                <w:i/>
                <w:i/>
              </w:rPr>
            </w:pPr>
            <w:r>
              <w:rPr>
                <w:b/>
                <w:bCs/>
                <w:i/>
              </w:rPr>
              <w:t>Enron North America Corp.</w:t>
            </w:r>
          </w:p>
          <w:p>
            <w:pPr>
              <w:pStyle w:val="Normal"/>
              <w:tabs>
                <w:tab w:val="clear" w:pos="720"/>
                <w:tab w:val="left" w:pos="2412" w:leader="none"/>
              </w:tabs>
              <w:ind w:start="1962" w:end="0"/>
              <w:rPr>
                <w:i/>
                <w:i/>
              </w:rPr>
            </w:pPr>
            <w:r>
              <w:rPr>
                <w:i/>
              </w:rPr>
              <w:t>1400 Smith</w:t>
            </w:r>
          </w:p>
          <w:p>
            <w:pPr>
              <w:pStyle w:val="Normal"/>
              <w:tabs>
                <w:tab w:val="clear" w:pos="720"/>
                <w:tab w:val="left" w:pos="2412" w:leader="none"/>
              </w:tabs>
              <w:ind w:start="1962" w:end="0"/>
              <w:rPr>
                <w:i/>
                <w:i/>
              </w:rPr>
            </w:pPr>
            <w:r>
              <w:rPr>
                <w:i/>
              </w:rPr>
              <w:t>Houston, Texas 77002</w:t>
            </w:r>
          </w:p>
          <w:p>
            <w:pPr>
              <w:pStyle w:val="Normal"/>
              <w:tabs>
                <w:tab w:val="clear" w:pos="720"/>
                <w:tab w:val="left" w:pos="2412" w:leader="none"/>
              </w:tabs>
              <w:ind w:start="1962" w:end="0"/>
              <w:rPr>
                <w:i/>
                <w:i/>
              </w:rPr>
            </w:pPr>
            <w:r>
              <w:rPr>
                <w:i/>
              </w:rPr>
              <w:t>Fax(713 )646-2491</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b/>
        </w:rPr>
        <w:t>INDICATIVE PROPOSAL</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t>November 16, 2001</w:t>
      </w:r>
    </w:p>
    <w:p>
      <w:pPr>
        <w:pStyle w:val="Normal"/>
        <w:rPr>
          <w:rFonts w:ascii="Times New Roman" w:hAnsi="Times New Roman" w:cs="Times New Roman"/>
        </w:rPr>
      </w:pPr>
      <w:r>
        <w:rPr>
          <w:rFonts w:cs="Times New Roman" w:ascii="Times New Roman" w:hAnsi="Times New Roman"/>
        </w:rPr>
        <w:t>To:</w:t>
        <w:tab/>
        <w:tab/>
        <w:tab/>
        <w:tab/>
        <w:t>NRG Power Marketing Inc. (“Counterparty”)</w:t>
      </w:r>
    </w:p>
    <w:p>
      <w:pPr>
        <w:pStyle w:val="Normal"/>
        <w:rPr>
          <w:rFonts w:ascii="Times New Roman" w:hAnsi="Times New Roman" w:cs="Times New Roman"/>
        </w:rPr>
      </w:pPr>
      <w:r>
        <w:rPr>
          <w:rFonts w:cs="Times New Roman" w:ascii="Times New Roman" w:hAnsi="Times New Roman"/>
        </w:rPr>
        <w:t>Attention:</w:t>
        <w:tab/>
        <w:tab/>
        <w:tab/>
        <w:t>Bill Stone</w:t>
      </w:r>
    </w:p>
    <w:p>
      <w:pPr>
        <w:pStyle w:val="Normal"/>
        <w:rPr>
          <w:rFonts w:ascii="Times New Roman" w:hAnsi="Times New Roman" w:cs="Times New Roman"/>
        </w:rPr>
      </w:pPr>
      <w:r>
        <w:rPr>
          <w:rFonts w:cs="Times New Roman" w:ascii="Times New Roman" w:hAnsi="Times New Roman"/>
        </w:rPr>
        <w:t>Fax No.:</w:t>
        <w:tab/>
        <w:tab/>
        <w:tab/>
        <w:t>(612) 373-8820</w:t>
      </w:r>
    </w:p>
    <w:p>
      <w:pPr>
        <w:pStyle w:val="Normal"/>
        <w:rPr>
          <w:rFonts w:ascii="Times New Roman" w:hAnsi="Times New Roman" w:cs="Times New Roman"/>
        </w:rPr>
      </w:pPr>
      <w:r>
        <w:rPr>
          <w:rFonts w:cs="Times New Roman" w:ascii="Times New Roman" w:hAnsi="Times New Roman"/>
        </w:rPr>
        <w:t>From:</w:t>
        <w:tab/>
        <w:tab/>
        <w:tab/>
        <w:tab/>
        <w:t>Enron North America Corp (“ENA”)</w:t>
      </w:r>
    </w:p>
    <w:p>
      <w:pPr>
        <w:pStyle w:val="Normal"/>
        <w:rPr>
          <w:rFonts w:ascii="Times New Roman" w:hAnsi="Times New Roman" w:cs="Times New Roman"/>
        </w:rPr>
      </w:pPr>
      <w:r>
        <w:rPr>
          <w:rFonts w:cs="Times New Roman" w:ascii="Times New Roman" w:hAnsi="Times New Roman"/>
        </w:rPr>
        <w:t>Re:</w:t>
        <w:tab/>
        <w:tab/>
        <w:tab/>
        <w:tab/>
        <w:t>NRG RFP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 xml:space="preserve"> Financial 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100-150 MWs per hour for each hour during the Determination Period.</w:t>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t>Electricity</w:t>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t>January 1, 2002</w:t>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t>December 31, 2006</w:t>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t>Tuesday, January 1, 2002 through Sunday, December 31, 2006.  Hour Ending (HE) 0100 through HE 2400 (24 Hours each day), Monday through Sunday, including NERC Holidays; Eastern Prevailing Time.</w:t>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pPr>
            <w:r>
              <w:rPr>
                <w:rFonts w:cs="Times New Roman" w:ascii="Times New Roman" w:hAnsi="Times New Roman"/>
              </w:rPr>
              <w:t>The fifth (5</w:t>
            </w:r>
            <w:r>
              <w:rPr>
                <w:rFonts w:cs="Times New Roman" w:ascii="Times New Roman" w:hAnsi="Times New Roman"/>
                <w:vertAlign w:val="superscript"/>
              </w:rPr>
              <w:t>th</w:t>
            </w:r>
            <w:r>
              <w:rPr>
                <w:rFonts w:cs="Times New Roman" w:ascii="Times New Roman" w:hAnsi="Times New Roman"/>
              </w:rPr>
              <w:t>) Business Day following the last day of the month that includes the Determination Period.</w:t>
            </w:r>
          </w:p>
        </w:tc>
      </w:tr>
    </w:tbl>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t>ENA</w:t>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t>US Dollars $34/MWh</w:t>
            </w:r>
          </w:p>
        </w:tc>
      </w:tr>
    </w:tbl>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t>NRG Power Marketing Inc.</w:t>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pPr>
            <w:r>
              <w:rPr>
                <w:rFonts w:cs="Times New Roman" w:ascii="Times New Roman" w:hAnsi="Times New Roman"/>
              </w:rPr>
              <w:t xml:space="preserve">The average of the hourly prices as published by PJM Interconnection, LLC (“PJM”) on PJM’s official web site currently located at </w:t>
            </w:r>
            <w:hyperlink r:id="rId3">
              <w:r>
                <w:rPr>
                  <w:rStyle w:val="Hyperlink"/>
                  <w:rFonts w:cs="Times New Roman" w:ascii="Times New Roman" w:hAnsi="Times New Roman"/>
                </w:rPr>
                <w:t>ftp://www.pjm.com/pub/account/lmp/index.html</w:t>
              </w:r>
            </w:hyperlink>
            <w:r>
              <w:rPr>
                <w:rFonts w:cs="Times New Roman" w:ascii="Times New Roman" w:hAnsi="Times New Roman"/>
              </w:rPr>
              <w:t>, or any successor thereto, under the headings “PJM – Locational Marginal Pricing Files; Eastern Hub” for electricity delivered during “On Peak Hours” during the applicable Calculation Period.</w:t>
            </w:r>
          </w:p>
          <w:p>
            <w:pPr>
              <w:pStyle w:val="Normal"/>
              <w:jc w:val="both"/>
              <w:rPr>
                <w:rFonts w:ascii="Times New Roman" w:hAnsi="Times New Roman" w:cs="Times New Roman"/>
              </w:rPr>
            </w:pPr>
            <w:r>
              <w:rPr>
                <w:rFonts w:cs="Times New Roman" w:ascii="Times New Roman" w:hAnsi="Times New Roman"/>
              </w:rPr>
            </w:r>
          </w:p>
        </w:tc>
      </w:tr>
      <w:tr>
        <w:trPr/>
        <w:tc>
          <w:tcPr>
            <w:tcW w:w="4338" w:type="dxa"/>
            <w:tcBorders/>
          </w:tcPr>
          <w:p>
            <w:pPr>
              <w:pStyle w:val="Normal"/>
              <w:snapToGrid w:val="false"/>
              <w:ind w:firstLine="720" w:end="0"/>
              <w:rPr>
                <w:rFonts w:ascii="Times New Roman" w:hAnsi="Times New Roman" w:cs="Times New Roman"/>
              </w:rPr>
            </w:pPr>
            <w:r>
              <w:rPr>
                <w:rFonts w:cs="Times New Roman" w:ascii="Times New Roman" w:hAnsi="Times New Roman"/>
              </w:rPr>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tc>
      </w:tr>
      <w:tr>
        <w:trPr/>
        <w:tc>
          <w:tcPr>
            <w:tcW w:w="10152" w:type="dxa"/>
            <w:gridSpan w:val="2"/>
            <w:tcBorders/>
          </w:tcPr>
          <w:p>
            <w:pPr>
              <w:pStyle w:val="Normal"/>
              <w:snapToGrid w:val="false"/>
              <w:ind w:firstLine="540" w:start="180" w:end="0"/>
              <w:jc w:val="both"/>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p>
      <w:pPr>
        <w:pStyle w:val="BodyText"/>
        <w:widowControl/>
        <w:rPr>
          <w:sz w:val="22"/>
        </w:rPr>
      </w:pPr>
      <w:r>
        <w:rPr>
          <w:sz w:val="22"/>
        </w:rPr>
        <w:t>The prices in this Proposal are indicative only, and subject to change until a final agreement is reached and executed by both parties.  This Proposal is for discussion purposes only to facilitate the negotiation, preparation, and execution of definitive agreements. This is not an offer or commitment of Enron or any of its affiliates to enter into any transaction. The transaction described herein is subject to further review and approval of the Boards of Directors of both the Seller and Enron, and execution of definitive agreements containing all appropriate provisions, including those related to credit and limitation of damages and remedies.</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r>
    </w:p>
    <w:sectPr>
      <w:headerReference w:type="default" r:id="rId4"/>
      <w:headerReference w:type="first" r:id="rId5"/>
      <w:footerReference w:type="default" r:id="rId6"/>
      <w:footerReference w:type="first" r:id="rId7"/>
      <w:type w:val="nextPage"/>
      <w:pgSz w:w="12240" w:h="15840"/>
      <w:pgMar w:left="1152" w:right="1152" w:gutter="0" w:header="720" w:top="1296"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 </w:t>
    </w:r>
    <w:r>
      <w:rPr/>
      <w:fldChar w:fldCharType="begin"/>
    </w:r>
    <w:r>
      <w:rPr/>
      <w:instrText xml:space="preserve"> TITLE </w:instrText>
    </w:r>
    <w:r>
      <w:rPr/>
      <w:fldChar w:fldCharType="separate"/>
    </w:r>
    <w:r>
      <w:rPr/>
      <w:t xml:space="preserve"> </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tyle>
  <w:style w:type="paragraph" w:styleId="BodyText">
    <w:name w:val="Body Text"/>
    <w:basedOn w:val="Normal"/>
    <w:pPr>
      <w:widowControl w:val="false"/>
      <w:jc w:val="both"/>
    </w:pPr>
    <w:rPr>
      <w:rFonts w:ascii="Times New Roman" w:hAnsi="Times New Roman" w:cs="Times New Roman"/>
      <w:i/>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ftp://www.pjm.com/pub/account/lmp/index.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2001-11-16T13:46:00Z</dcterms:created>
  <dc:creator>ECT</dc:creator>
  <dc:description/>
  <dc:language>en-CA</dc:language>
  <cp:lastModifiedBy>rwheele2</cp:lastModifiedBy>
  <cp:lastPrinted>2001-11-16T10:18:00Z</cp:lastPrinted>
  <dcterms:modified xsi:type="dcterms:W3CDTF">2001-11-16T13:56:00Z</dcterms:modified>
  <cp:revision>4</cp:revision>
  <dc:subject/>
  <dc:title> </dc:title>
</cp:coreProperties>
</file>