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«EnronEntityName»</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«EnronLogoAddr1»</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«EnronLogoAddr2»</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«EnronLogoAddr3»</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«EnronLogoTelephone»</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«EnronLogoFax»</w:t>
            </w:r>
            <w:r>
              <w:rPr>
                <w:sz w:val="22"/>
                <w:i/>
              </w:rPr>
              <w:fldChar w:fldCharType="end"/>
            </w:r>
          </w:p>
        </w:tc>
      </w:tr>
    </w:tbl>
    <w:p>
      <w:pPr>
        <w:pStyle w:val="Normal"/>
        <w:jc w:val="center"/>
        <w:rPr>
          <w:b/>
          <w:sz w:val="22"/>
        </w:rPr>
      </w:pPr>
      <w:r>
        <w:rPr>
          <w:b/>
          <w:sz w:val="22"/>
        </w:rPr>
        <w:t xml:space="preserve">CONFIRMATION </w:t>
      </w:r>
    </w:p>
    <w:p>
      <w:pPr>
        <w:pStyle w:val="Normal"/>
        <w:jc w:val="center"/>
        <w:rPr>
          <w:b/>
          <w:sz w:val="22"/>
        </w:rPr>
      </w:pPr>
      <w:r>
        <w:rPr>
          <w:b/>
          <w:sz w:val="22"/>
        </w:rPr>
        <w:t>(DAILY CALL SWAPTION)</w:t>
      </w:r>
    </w:p>
    <w:p>
      <w:pPr>
        <w:pStyle w:val="Normal"/>
        <w:rPr>
          <w:b/>
          <w:sz w:val="22"/>
        </w:rPr>
      </w:pPr>
      <w:r>
        <w:rPr>
          <w:b/>
          <w:sz w:val="22"/>
        </w:rPr>
      </w:r>
    </w:p>
    <w:p>
      <w:pPr>
        <w:pStyle w:val="Normal"/>
        <w:rPr>
          <w:sz w:val="22"/>
        </w:rPr>
      </w:pPr>
      <w:r>
        <w:rPr>
          <w:sz w:val="22"/>
        </w:rPr>
        <w:t>Date:</w:t>
        <w:tab/>
        <w:tab/>
        <w:tab/>
        <w:tab/>
        <w:t>December 21, 2000</w:t>
      </w:r>
    </w:p>
    <w:p>
      <w:pPr>
        <w:pStyle w:val="Normal"/>
        <w:rPr>
          <w:sz w:val="22"/>
        </w:rPr>
      </w:pPr>
      <w:r>
        <w:rPr>
          <w:sz w:val="22"/>
        </w:rPr>
        <w:t>To:</w:t>
        <w:tab/>
        <w:tab/>
        <w:tab/>
        <w:tab/>
        <w:t>NRG Power Marketing, Inc. (“Counterparty”)</w:t>
      </w:r>
    </w:p>
    <w:p>
      <w:pPr>
        <w:pStyle w:val="Normal"/>
        <w:rPr>
          <w:sz w:val="22"/>
        </w:rPr>
      </w:pPr>
      <w:r>
        <w:rPr>
          <w:sz w:val="22"/>
        </w:rPr>
        <w:t>Attention:</w:t>
        <w:tab/>
        <w:tab/>
        <w:tab/>
      </w:r>
    </w:p>
    <w:p>
      <w:pPr>
        <w:pStyle w:val="Normal"/>
        <w:rPr>
          <w:sz w:val="22"/>
        </w:rPr>
      </w:pPr>
      <w:r>
        <w:rPr>
          <w:sz w:val="22"/>
        </w:rPr>
        <w:t>Fax No.:</w:t>
        <w:tab/>
        <w:tab/>
        <w:tab/>
      </w:r>
    </w:p>
    <w:p>
      <w:pPr>
        <w:pStyle w:val="Normal"/>
        <w:rPr>
          <w:sz w:val="22"/>
        </w:rPr>
      </w:pPr>
      <w:r>
        <w:rPr>
          <w:sz w:val="22"/>
        </w:rPr>
        <w:t>From:</w:t>
        <w:tab/>
        <w:tab/>
        <w:tab/>
        <w:tab/>
        <w:t>Enron North America Corp. (“ENA”)</w:t>
      </w:r>
    </w:p>
    <w:p>
      <w:pPr>
        <w:pStyle w:val="Normal"/>
        <w:rPr>
          <w:sz w:val="22"/>
        </w:rPr>
      </w:pPr>
      <w:r>
        <w:rPr>
          <w:sz w:val="22"/>
        </w:rPr>
        <w:t>Re:</w:t>
        <w:tab/>
        <w:tab/>
        <w:tab/>
        <w:tab/>
        <w:t xml:space="preserve">Commodity Swap </w:t>
      </w:r>
    </w:p>
    <w:p>
      <w:pPr>
        <w:pStyle w:val="Normal"/>
        <w:jc w:val="center"/>
        <w:rPr>
          <w:b/>
          <w:sz w:val="22"/>
        </w:rPr>
      </w:pPr>
      <w:r>
        <w:rPr>
          <w:b/>
          <w:sz w:val="22"/>
        </w:rPr>
      </w:r>
    </w:p>
    <w:p>
      <w:pPr>
        <w:pStyle w:val="Normal"/>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jc w:val="both"/>
        <w:rPr>
          <w:sz w:val="22"/>
        </w:rPr>
      </w:pPr>
      <w:r>
        <w:rPr>
          <w:sz w:val="22"/>
        </w:rPr>
      </w:r>
    </w:p>
    <w:p>
      <w:pPr>
        <w:pStyle w:val="Normal"/>
        <w:jc w:val="both"/>
        <w:rPr>
          <w:b/>
          <w:sz w:val="22"/>
        </w:rPr>
      </w:pPr>
      <w:r>
        <w:rPr>
          <w:b/>
          <w:sz w:val="22"/>
        </w:rPr>
        <w:t>General Terms for Daily Call Swaption:</w:t>
      </w:r>
    </w:p>
    <w:p>
      <w:pPr>
        <w:pStyle w:val="Normal"/>
        <w:jc w:val="both"/>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sz w:val="22"/>
              </w:rPr>
            </w:pPr>
            <w:r>
              <w:rPr>
                <w:sz w:val="22"/>
              </w:rPr>
              <w:t>Notional Quantity per</w:t>
            </w:r>
          </w:p>
          <w:p>
            <w:pPr>
              <w:pStyle w:val="Normal"/>
              <w:rPr>
                <w:sz w:val="22"/>
              </w:rPr>
            </w:pPr>
            <w:r>
              <w:rPr>
                <w:sz w:val="22"/>
              </w:rPr>
              <w:t>Determination Period:</w:t>
            </w:r>
          </w:p>
        </w:tc>
        <w:tc>
          <w:tcPr>
            <w:tcW w:w="6102" w:type="dxa"/>
            <w:tcBorders/>
          </w:tcPr>
          <w:p>
            <w:pPr>
              <w:pStyle w:val="Normal"/>
              <w:snapToGrid w:val="false"/>
              <w:jc w:val="both"/>
              <w:rPr>
                <w:sz w:val="22"/>
              </w:rPr>
            </w:pPr>
            <w:r>
              <w:rPr>
                <w:sz w:val="22"/>
              </w:rPr>
            </w:r>
          </w:p>
          <w:p>
            <w:pPr>
              <w:pStyle w:val="Normal"/>
              <w:jc w:val="both"/>
              <w:rPr>
                <w:sz w:val="22"/>
              </w:rPr>
            </w:pPr>
            <w:r>
              <w:rPr>
                <w:sz w:val="22"/>
              </w:rPr>
              <w:t>0 to 100 MWs per hour for each On-Peak Hour during the Determination Period.</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sz w:val="22"/>
              </w:rPr>
              <w:t>Commodity:</w:t>
              <w:tab/>
            </w:r>
          </w:p>
        </w:tc>
        <w:tc>
          <w:tcPr>
            <w:tcW w:w="6102" w:type="dxa"/>
            <w:tcBorders/>
          </w:tcPr>
          <w:p>
            <w:pPr>
              <w:pStyle w:val="Normal"/>
              <w:jc w:val="both"/>
              <w:rPr>
                <w:sz w:val="22"/>
              </w:rPr>
            </w:pPr>
            <w:r>
              <w:rPr>
                <w:sz w:val="22"/>
              </w:rPr>
              <w:t>Electricity/MWh</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sz w:val="22"/>
              </w:rPr>
              <w:t>Commodity Unit:</w:t>
            </w:r>
          </w:p>
        </w:tc>
        <w:tc>
          <w:tcPr>
            <w:tcW w:w="6102" w:type="dxa"/>
            <w:tcBorders/>
          </w:tcPr>
          <w:p>
            <w:pPr>
              <w:pStyle w:val="Normal"/>
              <w:jc w:val="both"/>
              <w:rPr>
                <w:sz w:val="22"/>
              </w:rPr>
            </w:pPr>
            <w:r>
              <w:rPr>
                <w:sz w:val="22"/>
              </w:rPr>
              <w:t>MWh (Megawatt hours)</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sz w:val="22"/>
              </w:rPr>
              <w:t>Trade Date:</w:t>
            </w:r>
          </w:p>
        </w:tc>
        <w:tc>
          <w:tcPr>
            <w:tcW w:w="6102" w:type="dxa"/>
            <w:tcBorders/>
          </w:tcPr>
          <w:p>
            <w:pPr>
              <w:pStyle w:val="Normal"/>
              <w:jc w:val="both"/>
              <w:rPr>
                <w:sz w:val="22"/>
              </w:rPr>
            </w:pPr>
            <w:r>
              <w:rPr>
                <w:sz w:val="22"/>
              </w:rPr>
              <w:t>December 21, 2000</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sz w:val="22"/>
              </w:rPr>
              <w:t>Effective Date:</w:t>
              <w:tab/>
            </w:r>
          </w:p>
        </w:tc>
        <w:tc>
          <w:tcPr>
            <w:tcW w:w="6102" w:type="dxa"/>
            <w:tcBorders/>
          </w:tcPr>
          <w:p>
            <w:pPr>
              <w:pStyle w:val="Normal"/>
              <w:jc w:val="both"/>
              <w:rPr>
                <w:sz w:val="22"/>
              </w:rPr>
            </w:pPr>
            <w:r>
              <w:rPr>
                <w:sz w:val="22"/>
              </w:rPr>
              <w:t>January 1, 2001</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sz w:val="22"/>
              </w:rPr>
              <w:t>Termination Date:</w:t>
            </w:r>
          </w:p>
        </w:tc>
        <w:tc>
          <w:tcPr>
            <w:tcW w:w="6102" w:type="dxa"/>
            <w:tcBorders/>
          </w:tcPr>
          <w:p>
            <w:pPr>
              <w:pStyle w:val="Normal"/>
              <w:jc w:val="both"/>
              <w:rPr>
                <w:sz w:val="22"/>
              </w:rPr>
            </w:pPr>
            <w:r>
              <w:rPr>
                <w:sz w:val="22"/>
              </w:rPr>
              <w:t>January 31, 2001</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sz w:val="22"/>
              </w:rPr>
              <w:t>Option Style:</w:t>
            </w:r>
          </w:p>
        </w:tc>
        <w:tc>
          <w:tcPr>
            <w:tcW w:w="6102" w:type="dxa"/>
            <w:tcBorders/>
          </w:tcPr>
          <w:p>
            <w:pPr>
              <w:pStyle w:val="Normal"/>
              <w:jc w:val="both"/>
              <w:rPr>
                <w:sz w:val="22"/>
              </w:rPr>
            </w:pPr>
            <w:r>
              <w:rPr>
                <w:sz w:val="22"/>
              </w:rPr>
              <w:t>European</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sz w:val="22"/>
              </w:rPr>
              <w:t>Option Type:</w:t>
            </w:r>
          </w:p>
        </w:tc>
        <w:tc>
          <w:tcPr>
            <w:tcW w:w="6102" w:type="dxa"/>
            <w:tcBorders/>
          </w:tcPr>
          <w:p>
            <w:pPr>
              <w:pStyle w:val="Normal"/>
              <w:jc w:val="both"/>
              <w:rPr>
                <w:sz w:val="22"/>
              </w:rPr>
            </w:pPr>
            <w:r>
              <w:rPr>
                <w:sz w:val="22"/>
              </w:rPr>
              <w:t>Daily Call Swaption</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sz w:val="22"/>
              </w:rPr>
              <w:t>Option Buyer:</w:t>
            </w:r>
          </w:p>
        </w:tc>
        <w:tc>
          <w:tcPr>
            <w:tcW w:w="6102" w:type="dxa"/>
            <w:tcBorders/>
          </w:tcPr>
          <w:p>
            <w:pPr>
              <w:pStyle w:val="Normal"/>
              <w:jc w:val="both"/>
              <w:rPr>
                <w:sz w:val="22"/>
              </w:rPr>
            </w:pPr>
            <w:r>
              <w:rPr>
                <w:sz w:val="22"/>
              </w:rPr>
              <w:t>Enron North America Corp.</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sz w:val="22"/>
              </w:rPr>
              <w:t>Option Seller:</w:t>
            </w:r>
          </w:p>
        </w:tc>
        <w:tc>
          <w:tcPr>
            <w:tcW w:w="6102" w:type="dxa"/>
            <w:tcBorders/>
          </w:tcPr>
          <w:p>
            <w:pPr>
              <w:pStyle w:val="Normal"/>
              <w:jc w:val="both"/>
              <w:rPr>
                <w:sz w:val="22"/>
              </w:rPr>
            </w:pPr>
            <w:r>
              <w:rPr>
                <w:sz w:val="22"/>
              </w:rPr>
              <w:t>NRG Power Marketing, Inc.</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sz w:val="22"/>
              </w:rPr>
              <w:t>Premium or Scheduling Fee:</w:t>
            </w:r>
          </w:p>
        </w:tc>
        <w:tc>
          <w:tcPr>
            <w:tcW w:w="6102" w:type="dxa"/>
            <w:tcBorders/>
          </w:tcPr>
          <w:p>
            <w:pPr>
              <w:pStyle w:val="Normal"/>
              <w:rPr/>
            </w:pPr>
            <w:r>
              <w:rPr/>
              <w:t>$2.00/MWh</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rPr>
                <w:sz w:val="22"/>
              </w:rPr>
            </w:pPr>
            <w:r>
              <w:rPr>
                <w:sz w:val="22"/>
              </w:rPr>
              <w:t>Premium Payment Date:</w:t>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Heading6"/>
              <w:ind w:hanging="0" w:start="0"/>
              <w:rPr/>
            </w:pPr>
            <w:r>
              <w:rPr/>
              <w:t>Procedures for Exercise:</w:t>
            </w:r>
          </w:p>
        </w:tc>
        <w:tc>
          <w:tcPr>
            <w:tcW w:w="6102" w:type="dxa"/>
            <w:tcBorders/>
          </w:tcPr>
          <w:p>
            <w:pPr>
              <w:pStyle w:val="Normal"/>
              <w:snapToGrid w:val="false"/>
              <w:rPr/>
            </w:pPr>
            <w:r>
              <w:rPr/>
            </w:r>
          </w:p>
        </w:tc>
      </w:tr>
      <w:tr>
        <w:trPr/>
        <w:tc>
          <w:tcPr>
            <w:tcW w:w="4338" w:type="dxa"/>
            <w:tcBorders/>
          </w:tcPr>
          <w:p>
            <w:pPr>
              <w:pStyle w:val="Heading6"/>
              <w:snapToGrid w:val="false"/>
              <w:ind w:hanging="0" w:start="0"/>
              <w:rPr>
                <w:sz w:val="22"/>
              </w:rPr>
            </w:pPr>
            <w:r>
              <w:rPr>
                <w:sz w:val="22"/>
              </w:rPr>
            </w:r>
          </w:p>
        </w:tc>
        <w:tc>
          <w:tcPr>
            <w:tcW w:w="6102" w:type="dxa"/>
            <w:tcBorders/>
          </w:tcPr>
          <w:p>
            <w:pPr>
              <w:pStyle w:val="Normal"/>
              <w:snapToGrid w:val="false"/>
              <w:rPr/>
            </w:pPr>
            <w:r>
              <w:rPr/>
            </w:r>
          </w:p>
        </w:tc>
      </w:tr>
      <w:tr>
        <w:trPr/>
        <w:tc>
          <w:tcPr>
            <w:tcW w:w="4338" w:type="dxa"/>
            <w:tcBorders/>
          </w:tcPr>
          <w:p>
            <w:pPr>
              <w:pStyle w:val="Normal"/>
              <w:rPr>
                <w:sz w:val="22"/>
              </w:rPr>
            </w:pPr>
            <w:r>
              <w:rPr>
                <w:sz w:val="22"/>
              </w:rPr>
              <w:t>Exercise Periods and Notice of Exercise:</w:t>
            </w:r>
          </w:p>
        </w:tc>
        <w:tc>
          <w:tcPr>
            <w:tcW w:w="6102" w:type="dxa"/>
            <w:tcBorders/>
          </w:tcPr>
          <w:p>
            <w:pPr>
              <w:pStyle w:val="Normal"/>
              <w:rPr/>
            </w:pPr>
            <w:r>
              <w:rPr/>
              <w:t>ENA must provide telephone notice to Counterparty prior to the  “Nomination Deadline” as follows:</w:t>
            </w:r>
          </w:p>
          <w:p>
            <w:pPr>
              <w:pStyle w:val="Normal"/>
              <w:rPr/>
            </w:pPr>
            <w:r>
              <w:rPr/>
            </w:r>
          </w:p>
          <w:p>
            <w:pPr>
              <w:pStyle w:val="Normal"/>
              <w:rPr/>
            </w:pPr>
            <w:r>
              <w:rPr>
                <w:u w:val="single"/>
              </w:rPr>
              <w:t>Calendar Day</w:t>
            </w:r>
            <w:r>
              <w:rPr/>
              <w:tab/>
              <w:tab/>
            </w:r>
            <w:r>
              <w:rPr>
                <w:u w:val="single"/>
              </w:rPr>
              <w:t>Nomination Deadline</w:t>
            </w:r>
          </w:p>
          <w:p>
            <w:pPr>
              <w:pStyle w:val="Normal"/>
              <w:rPr/>
            </w:pPr>
            <w:r>
              <w:rPr/>
              <w:t xml:space="preserve">Monday </w:t>
              <w:tab/>
              <w:tab/>
              <w:t>Preceding Friday 1600 EPT</w:t>
            </w:r>
          </w:p>
          <w:p>
            <w:pPr>
              <w:pStyle w:val="Normal"/>
              <w:rPr/>
            </w:pPr>
            <w:r>
              <w:rPr/>
              <w:t>Tuesday</w:t>
              <w:tab/>
              <w:tab/>
              <w:t>Preceding Friday 1600 EPT</w:t>
            </w:r>
          </w:p>
          <w:p>
            <w:pPr>
              <w:pStyle w:val="Normal"/>
              <w:rPr/>
            </w:pPr>
            <w:r>
              <w:rPr/>
              <w:t>Wednesday</w:t>
              <w:tab/>
              <w:tab/>
              <w:t>Preceding Monday 1600 EPT</w:t>
            </w:r>
          </w:p>
          <w:p>
            <w:pPr>
              <w:pStyle w:val="Normal"/>
              <w:rPr/>
            </w:pPr>
            <w:r>
              <w:rPr/>
              <w:t>Thursday</w:t>
              <w:tab/>
              <w:tab/>
              <w:t>Preceding Tuesday 1600 EPT</w:t>
            </w:r>
          </w:p>
          <w:p>
            <w:pPr>
              <w:pStyle w:val="Normal"/>
              <w:rPr/>
            </w:pPr>
            <w:r>
              <w:rPr/>
              <w:t>Friday</w:t>
              <w:tab/>
              <w:tab/>
              <w:tab/>
              <w:t>Preceding Wednesday 1600 EPT</w:t>
            </w:r>
          </w:p>
          <w:p>
            <w:pPr>
              <w:pStyle w:val="Normal"/>
              <w:rPr/>
            </w:pPr>
            <w:r>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rPr>
                <w:sz w:val="22"/>
              </w:rPr>
            </w:pPr>
            <w:r>
              <w:rPr>
                <w:sz w:val="22"/>
              </w:rPr>
              <w:t>Automatic Exercise:</w:t>
            </w:r>
          </w:p>
        </w:tc>
        <w:tc>
          <w:tcPr>
            <w:tcW w:w="6102" w:type="dxa"/>
            <w:tcBorders/>
          </w:tcPr>
          <w:p>
            <w:pPr>
              <w:pStyle w:val="Normal"/>
              <w:rPr/>
            </w:pPr>
            <w:r>
              <w:rPr/>
              <w:t>Inapplicable</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sz w:val="22"/>
              </w:rPr>
            </w:pPr>
            <w:r>
              <w:rPr>
                <w:sz w:val="22"/>
              </w:rPr>
              <w:t>Determination Period(s):</w:t>
            </w:r>
          </w:p>
        </w:tc>
        <w:tc>
          <w:tcPr>
            <w:tcW w:w="6102" w:type="dxa"/>
            <w:tcBorders/>
          </w:tcPr>
          <w:p>
            <w:pPr>
              <w:pStyle w:val="Normal"/>
              <w:jc w:val="both"/>
              <w:rPr>
                <w:sz w:val="22"/>
              </w:rPr>
            </w:pPr>
            <w:r>
              <w:rPr>
                <w:sz w:val="22"/>
              </w:rPr>
              <w:t>Each calendar month beginning with January 1, 2001 and ending on January 31, 2001</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sz w:val="22"/>
              </w:rPr>
            </w:pPr>
            <w:r>
              <w:rPr>
                <w:sz w:val="22"/>
              </w:rPr>
              <w:t>Payment Date(s):</w:t>
            </w:r>
          </w:p>
        </w:tc>
        <w:tc>
          <w:tcPr>
            <w:tcW w:w="6102" w:type="dxa"/>
            <w:tcBorders/>
          </w:tcPr>
          <w:p>
            <w:pPr>
              <w:pStyle w:val="Normal"/>
              <w:jc w:val="both"/>
              <w:rPr/>
            </w:pPr>
            <w:r>
              <w:rPr>
                <w:sz w:val="22"/>
              </w:rPr>
              <w:t>The fifth (5</w:t>
            </w:r>
            <w:r>
              <w:rPr>
                <w:sz w:val="22"/>
                <w:vertAlign w:val="superscript"/>
              </w:rPr>
              <w:t>th</w:t>
            </w:r>
            <w:r>
              <w:rPr>
                <w:sz w:val="22"/>
              </w:rPr>
              <w:t>) Business Day following the date on which the Floating Price is determinable</w:t>
            </w:r>
          </w:p>
        </w:tc>
      </w:tr>
    </w:tbl>
    <w:p>
      <w:pPr>
        <w:pStyle w:val="Normal"/>
        <w:rPr>
          <w:b/>
          <w:sz w:val="22"/>
        </w:rPr>
      </w:pPr>
      <w:r>
        <w:rPr>
          <w:b/>
          <w:sz w:val="22"/>
        </w:rPr>
        <w:t>Floating Price A Details:</w:t>
      </w:r>
    </w:p>
    <w:p>
      <w:pPr>
        <w:pStyle w:val="Normal"/>
        <w:rPr>
          <w:b/>
          <w:sz w:val="22"/>
        </w:rPr>
      </w:pPr>
      <w:r>
        <w:rPr>
          <w:b/>
          <w:sz w:val="22"/>
        </w:rPr>
      </w:r>
    </w:p>
    <w:p>
      <w:pPr>
        <w:pStyle w:val="Normal"/>
        <w:jc w:val="both"/>
        <w:rPr>
          <w:sz w:val="22"/>
        </w:rPr>
      </w:pPr>
      <w:r>
        <w:rPr>
          <w:sz w:val="22"/>
        </w:rPr>
        <w:tab/>
        <w:t>Floating Price A Payor:</w:t>
        <w:tab/>
        <w:tab/>
        <w:tab/>
        <w:t>Enron North America Corp.</w:t>
      </w:r>
    </w:p>
    <w:p>
      <w:pPr>
        <w:pStyle w:val="Normal"/>
        <w:rPr>
          <w:sz w:val="22"/>
        </w:rPr>
      </w:pPr>
      <w:r>
        <w:rPr>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Floating Price A:</w:t>
            </w:r>
          </w:p>
        </w:tc>
        <w:tc>
          <w:tcPr>
            <w:tcW w:w="6102" w:type="dxa"/>
            <w:tcBorders/>
          </w:tcPr>
          <w:p>
            <w:pPr>
              <w:pStyle w:val="Normal"/>
              <w:rPr/>
            </w:pPr>
            <w:r>
              <w:rPr>
                <w:sz w:val="22"/>
              </w:rPr>
              <w:t xml:space="preserve">The hourly day-ahead prices as published by the New York Independent System Operator (the “NYISO”) on the last day of the month that includes the applicable Determination Period on the NYISO’s Official web site currently located at </w:t>
            </w:r>
            <w:r>
              <w:rPr>
                <w:sz w:val="22"/>
                <w:u w:val="single"/>
              </w:rPr>
              <w:t>http://mis.nyiso.com/public/index.html</w:t>
            </w:r>
            <w:r>
              <w:rPr>
                <w:sz w:val="22"/>
              </w:rPr>
              <w:t>, or any successor thereto, under the headings “Day Ahead Market LBMP – Zonal; Zonal Prices; N.Y.C. (61761) (Zone J) for “On-Peak Hours” during the applicable Determination Period.</w:t>
            </w:r>
          </w:p>
          <w:p>
            <w:pPr>
              <w:pStyle w:val="Normal"/>
              <w:rPr>
                <w:sz w:val="22"/>
              </w:rPr>
            </w:pPr>
            <w:r>
              <w:rPr>
                <w:sz w:val="22"/>
              </w:rPr>
            </w:r>
          </w:p>
          <w:p>
            <w:pPr>
              <w:pStyle w:val="Normal"/>
              <w:jc w:val="both"/>
              <w:rPr>
                <w:sz w:val="22"/>
              </w:rPr>
            </w:pPr>
            <w:r>
              <w:rPr>
                <w:sz w:val="22"/>
              </w:rPr>
              <w:t>“</w:t>
            </w:r>
            <w:r>
              <w:rPr>
                <w:sz w:val="22"/>
              </w:rPr>
              <w:t>On-Peak Hours” means the hours commencing HE 0800 through HE 2300 Eastern Prevailing Time, Monday through Friday (excluding holidays of the North American Electric Reliability Council).</w:t>
            </w:r>
          </w:p>
        </w:tc>
      </w:tr>
    </w:tbl>
    <w:p>
      <w:pPr>
        <w:pStyle w:val="Normal"/>
        <w:rPr>
          <w:b/>
          <w:sz w:val="22"/>
        </w:rPr>
      </w:pPr>
      <w:r>
        <w:rPr>
          <w:b/>
          <w:sz w:val="22"/>
        </w:rPr>
        <w:t>Floating Price B Details:</w:t>
      </w:r>
    </w:p>
    <w:p>
      <w:pPr>
        <w:pStyle w:val="Normal"/>
        <w:rPr>
          <w:b/>
          <w:sz w:val="22"/>
        </w:rPr>
      </w:pPr>
      <w:r>
        <w:rPr>
          <w:b/>
          <w:sz w:val="22"/>
        </w:rPr>
      </w:r>
    </w:p>
    <w:p>
      <w:pPr>
        <w:pStyle w:val="Normal"/>
        <w:jc w:val="both"/>
        <w:rPr>
          <w:sz w:val="22"/>
        </w:rPr>
      </w:pPr>
      <w:r>
        <w:rPr>
          <w:sz w:val="22"/>
        </w:rPr>
        <w:tab/>
        <w:t>Floating Price B Payor:</w:t>
        <w:tab/>
        <w:tab/>
        <w:tab/>
        <w:t>NRG Power Marketing, Inc.</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Floating Price B:</w:t>
            </w:r>
          </w:p>
        </w:tc>
        <w:tc>
          <w:tcPr>
            <w:tcW w:w="6102" w:type="dxa"/>
            <w:tcBorders/>
          </w:tcPr>
          <w:p>
            <w:pPr>
              <w:pStyle w:val="Normal"/>
              <w:rPr/>
            </w:pPr>
            <w:r>
              <w:rPr>
                <w:sz w:val="22"/>
              </w:rPr>
              <w:t xml:space="preserve">The hourly day-ahead prices as published by the New York Independent System Operator (the “NYISO”) on the last day of the month that includes the applicable Determination Period on the NYISO’s official web site Currently located at </w:t>
            </w:r>
            <w:r>
              <w:rPr>
                <w:sz w:val="22"/>
                <w:u w:val="single"/>
              </w:rPr>
              <w:t>http://mis.nyiso.com/public/index.html</w:t>
            </w:r>
            <w:r>
              <w:rPr>
                <w:sz w:val="22"/>
              </w:rPr>
              <w:t>, or any successor thereto, under the headings “Time Weighted/Integrated Real Time LBMP – Zonal; Zonal Prices; N.Y.C. (61761) (Zone J) for “On-Peak Hours” during the applicable Determination Period.</w:t>
            </w:r>
          </w:p>
          <w:p>
            <w:pPr>
              <w:pStyle w:val="Normal"/>
              <w:rPr>
                <w:sz w:val="22"/>
              </w:rPr>
            </w:pPr>
            <w:r>
              <w:rPr>
                <w:sz w:val="22"/>
              </w:rPr>
            </w:r>
          </w:p>
          <w:p>
            <w:pPr>
              <w:pStyle w:val="Normal"/>
              <w:jc w:val="both"/>
              <w:rPr>
                <w:sz w:val="22"/>
              </w:rPr>
            </w:pPr>
            <w:r>
              <w:rPr>
                <w:sz w:val="22"/>
              </w:rPr>
              <w:t>“</w:t>
            </w:r>
            <w:r>
              <w:rPr>
                <w:sz w:val="22"/>
              </w:rPr>
              <w:t>On-Peak Hours” means the hours commencing HE 0800 through HE 2300 Eastern Prevailing Time, Monday through Friday (excluding holidays of the North American Electric Reliability Council).</w:t>
            </w:r>
          </w:p>
        </w:tc>
      </w:tr>
    </w:tbl>
    <w:p>
      <w:pPr>
        <w:pStyle w:val="Normal"/>
        <w:jc w:val="both"/>
        <w:rPr>
          <w:b/>
          <w:sz w:val="22"/>
        </w:rPr>
      </w:pPr>
      <w:r>
        <w:rPr>
          <w:b/>
          <w:sz w:val="22"/>
        </w:rPr>
      </w:r>
    </w:p>
    <w:p>
      <w:pPr>
        <w:pStyle w:val="Normal"/>
        <w:jc w:val="both"/>
        <w:rPr>
          <w:b/>
          <w:sz w:val="22"/>
        </w:rPr>
      </w:pPr>
      <w:r>
        <w:rPr>
          <w:b/>
          <w:sz w:val="22"/>
        </w:rPr>
        <w:t>Contractual Currency:</w:t>
        <w:tab/>
        <w:tab/>
        <w:tab/>
      </w:r>
      <w:r>
        <w:rPr>
          <w:sz w:val="22"/>
        </w:rPr>
        <w:t>US Dollars</w:t>
      </w:r>
    </w:p>
    <w:p>
      <w:pPr>
        <w:pStyle w:val="Normal"/>
        <w:jc w:val="both"/>
        <w:rPr>
          <w:b/>
          <w:sz w:val="22"/>
        </w:rPr>
      </w:pPr>
      <w:r>
        <w:rPr>
          <w:b/>
          <w:sz w:val="22"/>
        </w:rPr>
      </w:r>
    </w:p>
    <w:p>
      <w:pPr>
        <w:pStyle w:val="Normal"/>
        <w:jc w:val="both"/>
        <w:rPr/>
      </w:pPr>
      <w:r>
        <w:rPr>
          <w:b/>
          <w:sz w:val="22"/>
        </w:rPr>
        <w:t>Governing Law:</w:t>
      </w:r>
      <w:r>
        <w:rPr>
          <w:sz w:val="22"/>
        </w:rPr>
        <w:tab/>
        <w:tab/>
        <w:tab/>
        <w:tab/>
        <w:t>Texas</w:t>
      </w:r>
    </w:p>
    <w:p>
      <w:pPr>
        <w:pStyle w:val="Normal"/>
        <w:tabs>
          <w:tab w:val="left" w:pos="720" w:leader="none"/>
          <w:tab w:val="left" w:pos="4320" w:leader="none"/>
        </w:tabs>
        <w:jc w:val="both"/>
        <w:rPr>
          <w:b/>
          <w:sz w:val="22"/>
        </w:rPr>
      </w:pPr>
      <w:r>
        <w:rPr>
          <w:b/>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b/>
                <w:sz w:val="22"/>
              </w:rPr>
            </w:pPr>
            <w:r>
              <w:rPr>
                <w:b/>
                <w:sz w:val="22"/>
              </w:rPr>
              <w:t>General Terms and Conditions</w:t>
            </w:r>
          </w:p>
          <w:p>
            <w:pPr>
              <w:pStyle w:val="Normal"/>
              <w:rPr>
                <w:sz w:val="22"/>
              </w:rPr>
            </w:pPr>
            <w:r>
              <w:rPr>
                <w:b/>
                <w:sz w:val="22"/>
              </w:rPr>
              <w:t>of Confirmations:</w:t>
            </w:r>
          </w:p>
        </w:tc>
        <w:tc>
          <w:tcPr>
            <w:tcW w:w="6102" w:type="dxa"/>
            <w:tcBorders/>
          </w:tcPr>
          <w:p>
            <w:pPr>
              <w:pStyle w:val="Normal"/>
              <w:snapToGrid w:val="false"/>
              <w:jc w:val="both"/>
              <w:rPr>
                <w:sz w:val="22"/>
              </w:rPr>
            </w:pPr>
            <w:r>
              <w:rPr>
                <w:sz w:val="22"/>
              </w:rPr>
            </w:r>
          </w:p>
          <w:p>
            <w:pPr>
              <w:pStyle w:val="Normal"/>
              <w:jc w:val="both"/>
              <w:rPr/>
            </w:pPr>
            <w:r>
              <w:rPr>
                <w:sz w:val="22"/>
              </w:rPr>
              <w:t>The general terms and conditions contained in Annex A</w:t>
            </w:r>
            <w:r>
              <w:rPr>
                <w:b/>
                <w:sz w:val="22"/>
              </w:rPr>
              <w:t xml:space="preserve"> </w:t>
            </w:r>
            <w:r>
              <w:rPr>
                <w:sz w:val="22"/>
              </w:rPr>
              <w:t>attached hereto and made a part hereof apply and are incorporated herein by reference</w:t>
            </w:r>
          </w:p>
        </w:tc>
      </w:tr>
    </w:tbl>
    <w:p>
      <w:pPr>
        <w:pStyle w:val="Normal"/>
        <w:tabs>
          <w:tab w:val="clear" w:pos="720"/>
          <w:tab w:val="left" w:pos="9000" w:leader="none"/>
        </w:tabs>
        <w:rPr>
          <w:sz w:val="22"/>
        </w:rPr>
      </w:pPr>
      <w:r>
        <w:rPr>
          <w:sz w:val="22"/>
        </w:rPr>
        <w:tab/>
        <w:tab/>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pPr>
            <w:r>
              <w:rPr>
                <w:sz w:val="22"/>
              </w:rPr>
              <w:t>For the purposes of the calculation of the Floating Price(s), all numbers shall be rounded to three (3) decimal places.  If the fourth (4</w:t>
            </w:r>
            <w:r>
              <w:rPr>
                <w:sz w:val="22"/>
                <w:vertAlign w:val="superscript"/>
              </w:rPr>
              <w:t>th</w:t>
            </w:r>
            <w:r>
              <w:rPr>
                <w:sz w:val="22"/>
              </w:rPr>
              <w:t>) decimal number is five (5) or greater, then the third (3</w:t>
            </w:r>
            <w:r>
              <w:rPr>
                <w:sz w:val="22"/>
                <w:vertAlign w:val="superscript"/>
              </w:rPr>
              <w:t>rd</w:t>
            </w:r>
            <w:r>
              <w:rPr>
                <w:sz w:val="22"/>
              </w:rPr>
              <w:t>) decimal number shall be increased by one (1), and if the fourth (4</w:t>
            </w:r>
            <w:r>
              <w:rPr>
                <w:sz w:val="22"/>
                <w:vertAlign w:val="superscript"/>
              </w:rPr>
              <w:t>th</w:t>
            </w:r>
            <w:r>
              <w:rPr>
                <w:sz w:val="22"/>
              </w:rPr>
              <w:t>) decimal number is less than five (5), then the third (3</w:t>
            </w:r>
            <w:r>
              <w:rPr>
                <w:sz w:val="22"/>
                <w:vertAlign w:val="superscript"/>
              </w:rPr>
              <w:t>rd</w:t>
            </w:r>
            <w:r>
              <w:rPr>
                <w:sz w:val="22"/>
              </w:rPr>
              <w:t>) decimal number shall remain unchanged.</w:t>
            </w:r>
          </w:p>
        </w:tc>
      </w:tr>
    </w:tbl>
    <w:p>
      <w:pPr>
        <w:pStyle w:val="Normal"/>
        <w:jc w:val="both"/>
        <w:rPr>
          <w:sz w:val="22"/>
        </w:rPr>
      </w:pPr>
      <w:r>
        <w:rPr>
          <w:sz w:val="22"/>
        </w:rPr>
      </w:r>
    </w:p>
    <w:p>
      <w:pPr>
        <w:pStyle w:val="Normal"/>
        <w:jc w:val="both"/>
        <w:rPr>
          <w:sz w:val="22"/>
        </w:rPr>
      </w:pPr>
      <w:r>
        <w:rPr>
          <w:sz w:val="22"/>
        </w:rPr>
        <w:t>For purposes of determining the relevant prices for any day, if the price published or announced on a given day and used or to be used by ENA to determine a relevant price is subsequently corrected and the correction is published or announced by the person responsible for that publication or announcement within thirty (30) calendar days of the original publication or announcement, either party may notify the other party of (i) that correction and (ii) the amount (if any) that is payable as a result of that correction.  If, not later than thirty (30) calendar days after publication or announcement of that correction, a party gives notice that an amount is so payable, the party that originally either received or retained such amount will, not later that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 period.</w:t>
      </w:r>
    </w:p>
    <w:p>
      <w:pPr>
        <w:pStyle w:val="Normal"/>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ind w:firstLine="720" w:end="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t>Sincerely,</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Enron North America Corp.</w:t>
            </w:r>
          </w:p>
        </w:tc>
        <w:tc>
          <w:tcPr>
            <w:tcW w:w="6012" w:type="dxa"/>
            <w:tcBorders/>
          </w:tcPr>
          <w:p>
            <w:pPr>
              <w:pStyle w:val="Normal"/>
              <w:rPr>
                <w:sz w:val="22"/>
              </w:rPr>
            </w:pPr>
            <w:r>
              <w:rPr>
                <w:sz w:val="22"/>
              </w:rPr>
              <w:t>NRG Power Marketing, Inc.</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 xml:space="preserve">             </w:t>
            </w:r>
          </w:p>
        </w:tc>
        <w:tc>
          <w:tcPr>
            <w:tcW w:w="6012" w:type="dxa"/>
            <w:tcBorders/>
          </w:tcPr>
          <w:p>
            <w:pPr>
              <w:pStyle w:val="Normal"/>
              <w:snapToGrid w:val="false"/>
              <w:rPr>
                <w:sz w:val="22"/>
              </w:rPr>
            </w:pPr>
            <w:r>
              <w:rPr>
                <w:sz w:val="22"/>
              </w:rPr>
            </w:r>
          </w:p>
        </w:tc>
      </w:tr>
      <w:tr>
        <w:trPr/>
        <w:tc>
          <w:tcPr>
            <w:tcW w:w="4428" w:type="dxa"/>
            <w:tcBorders/>
          </w:tcPr>
          <w:p>
            <w:pPr>
              <w:pStyle w:val="Normal"/>
              <w:rPr>
                <w:sz w:val="22"/>
              </w:rPr>
            </w:pPr>
            <w:r>
              <w:rPr>
                <w:sz w:val="22"/>
              </w:rPr>
              <w:t>By:  _____________________</w:t>
            </w:r>
          </w:p>
        </w:tc>
        <w:tc>
          <w:tcPr>
            <w:tcW w:w="6012" w:type="dxa"/>
            <w:tcBorders/>
          </w:tcPr>
          <w:p>
            <w:pPr>
              <w:pStyle w:val="Normal"/>
              <w:rPr>
                <w:sz w:val="22"/>
                <w:u w:val="single"/>
              </w:rPr>
            </w:pPr>
            <w:r>
              <w:rPr>
                <w:sz w:val="22"/>
              </w:rPr>
              <w:t>By: ____________________________</w:t>
            </w:r>
          </w:p>
        </w:tc>
      </w:tr>
      <w:tr>
        <w:trPr/>
        <w:tc>
          <w:tcPr>
            <w:tcW w:w="4428" w:type="dxa"/>
            <w:tcBorders/>
          </w:tcPr>
          <w:p>
            <w:pPr>
              <w:pStyle w:val="Normal"/>
              <w:rPr>
                <w:sz w:val="22"/>
              </w:rPr>
            </w:pPr>
            <w:r>
              <w:rPr>
                <w:sz w:val="22"/>
              </w:rPr>
              <w:t>Name: ___________________</w:t>
            </w:r>
          </w:p>
        </w:tc>
        <w:tc>
          <w:tcPr>
            <w:tcW w:w="6012" w:type="dxa"/>
            <w:tcBorders/>
          </w:tcPr>
          <w:p>
            <w:pPr>
              <w:pStyle w:val="Normal"/>
              <w:rPr>
                <w:sz w:val="22"/>
              </w:rPr>
            </w:pPr>
            <w:r>
              <w:rPr>
                <w:sz w:val="22"/>
              </w:rPr>
              <w:t>Name:  _________________________</w:t>
            </w:r>
          </w:p>
        </w:tc>
      </w:tr>
      <w:tr>
        <w:trPr/>
        <w:tc>
          <w:tcPr>
            <w:tcW w:w="4428" w:type="dxa"/>
            <w:tcBorders/>
          </w:tcPr>
          <w:p>
            <w:pPr>
              <w:pStyle w:val="Normal"/>
              <w:rPr>
                <w:sz w:val="22"/>
              </w:rPr>
            </w:pPr>
            <w:r>
              <w:rPr>
                <w:sz w:val="22"/>
              </w:rPr>
              <w:t>Title: ____________________</w:t>
            </w:r>
          </w:p>
        </w:tc>
        <w:tc>
          <w:tcPr>
            <w:tcW w:w="6012" w:type="dxa"/>
            <w:tcBorders/>
          </w:tcPr>
          <w:p>
            <w:pPr>
              <w:pStyle w:val="Normal"/>
              <w:rPr>
                <w:sz w:val="22"/>
              </w:rPr>
            </w:pPr>
            <w:r>
              <w:rPr>
                <w:sz w:val="22"/>
              </w:rPr>
              <w:t>Title:  __________________________</w:t>
            </w:r>
          </w:p>
        </w:tc>
      </w:tr>
      <w:tr>
        <w:trPr/>
        <w:tc>
          <w:tcPr>
            <w:tcW w:w="4428" w:type="dxa"/>
            <w:tcBorders/>
          </w:tcPr>
          <w:p>
            <w:pPr>
              <w:pStyle w:val="Normal"/>
              <w:rPr>
                <w:sz w:val="22"/>
              </w:rPr>
            </w:pPr>
            <w:r>
              <w:rPr>
                <w:sz w:val="22"/>
              </w:rPr>
              <w:t>Date: ____________________</w:t>
            </w:r>
          </w:p>
        </w:tc>
        <w:tc>
          <w:tcPr>
            <w:tcW w:w="6012" w:type="dxa"/>
            <w:tcBorders/>
          </w:tcPr>
          <w:p>
            <w:pPr>
              <w:pStyle w:val="Normal"/>
              <w:rPr>
                <w:sz w:val="22"/>
              </w:rPr>
            </w:pPr>
            <w:r>
              <w:rPr>
                <w:sz w:val="22"/>
              </w:rPr>
              <w:t>Date:  __________________________</w:t>
            </w:r>
          </w:p>
        </w:tc>
      </w:tr>
    </w:tbl>
    <w:p>
      <w:pPr>
        <w:pStyle w:val="Normal"/>
        <w:rPr>
          <w:b/>
          <w:sz w:val="22"/>
        </w:rPr>
      </w:pPr>
      <w:r>
        <w:rPr>
          <w:b/>
          <w:sz w:val="22"/>
        </w:rPr>
      </w:r>
    </w:p>
    <w:p>
      <w:pPr>
        <w:pStyle w:val="Normal"/>
        <w:jc w:val="both"/>
        <w:rPr>
          <w:b/>
          <w:sz w:val="22"/>
        </w:rPr>
      </w:pPr>
      <w:r>
        <w:rPr>
          <w:b/>
          <w:sz w:val="22"/>
        </w:rPr>
        <w:t>COUNTERPARTY: AFTER YOU HAVE CONFIRMED TRANSACTION, PLEASE RETURN TO ENA, ATTENTION:  Power Contracts Documentation Manager at fax no. (713) 646-2491</w:t>
      </w:r>
    </w:p>
    <w:p>
      <w:pPr>
        <w:pStyle w:val="Normal"/>
        <w:jc w:val="both"/>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ENA:</w:t>
            </w:r>
          </w:p>
        </w:tc>
        <w:tc>
          <w:tcPr>
            <w:tcW w:w="4932" w:type="dxa"/>
            <w:tcBorders/>
          </w:tcPr>
          <w:p>
            <w:pPr>
              <w:pStyle w:val="Normal"/>
              <w:rPr>
                <w:sz w:val="22"/>
              </w:rPr>
            </w:pPr>
            <w:r>
              <w:rPr>
                <w:b/>
                <w:sz w:val="22"/>
              </w:rPr>
              <w:t>Payment Account Information for ENA:</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PO Box 4428</w:t>
            </w:r>
          </w:p>
        </w:tc>
        <w:tc>
          <w:tcPr>
            <w:tcW w:w="4932" w:type="dxa"/>
            <w:tcBorders/>
          </w:tcPr>
          <w:p>
            <w:pPr>
              <w:pStyle w:val="Normal"/>
              <w:rPr>
                <w:sz w:val="22"/>
              </w:rPr>
            </w:pPr>
            <w:r>
              <w:rPr>
                <w:sz w:val="22"/>
              </w:rPr>
              <w:t>Wire Transfer to: 111000012</w:t>
            </w:r>
          </w:p>
        </w:tc>
      </w:tr>
      <w:tr>
        <w:trPr/>
        <w:tc>
          <w:tcPr>
            <w:tcW w:w="5508" w:type="dxa"/>
            <w:tcBorders/>
          </w:tcPr>
          <w:p>
            <w:pPr>
              <w:pStyle w:val="Normal"/>
              <w:rPr>
                <w:sz w:val="22"/>
              </w:rPr>
            </w:pPr>
            <w:r>
              <w:rPr>
                <w:sz w:val="22"/>
              </w:rPr>
              <w:t>Houston, TX  77210-4428</w:t>
            </w:r>
          </w:p>
        </w:tc>
        <w:tc>
          <w:tcPr>
            <w:tcW w:w="4932" w:type="dxa"/>
            <w:tcBorders/>
          </w:tcPr>
          <w:p>
            <w:pPr>
              <w:pStyle w:val="Normal"/>
              <w:rPr>
                <w:sz w:val="22"/>
              </w:rPr>
            </w:pPr>
            <w:r>
              <w:rPr>
                <w:sz w:val="22"/>
              </w:rPr>
              <w:t>Acct No. 3750494727</w:t>
            </w:r>
          </w:p>
        </w:tc>
      </w:tr>
      <w:tr>
        <w:trPr/>
        <w:tc>
          <w:tcPr>
            <w:tcW w:w="5508" w:type="dxa"/>
            <w:tcBorders/>
          </w:tcPr>
          <w:p>
            <w:pPr>
              <w:pStyle w:val="Normal"/>
              <w:rPr>
                <w:sz w:val="22"/>
              </w:rPr>
            </w:pPr>
            <w:r>
              <w:rPr>
                <w:sz w:val="22"/>
              </w:rPr>
              <w:t>Attention: Manager, Documentation Dept</w:t>
            </w:r>
          </w:p>
        </w:tc>
        <w:tc>
          <w:tcPr>
            <w:tcW w:w="4932" w:type="dxa"/>
            <w:tcBorders/>
          </w:tcPr>
          <w:p>
            <w:pPr>
              <w:pStyle w:val="Normal"/>
              <w:rPr>
                <w:sz w:val="22"/>
              </w:rPr>
            </w:pPr>
            <w:r>
              <w:rPr>
                <w:sz w:val="22"/>
              </w:rPr>
              <w:t>ABA Routing No. Bank of America, Dallas, TX</w:t>
            </w:r>
          </w:p>
        </w:tc>
      </w:tr>
      <w:tr>
        <w:trPr/>
        <w:tc>
          <w:tcPr>
            <w:tcW w:w="5508" w:type="dxa"/>
            <w:tcBorders/>
          </w:tcPr>
          <w:p>
            <w:pPr>
              <w:pStyle w:val="Normal"/>
              <w:rPr>
                <w:sz w:val="22"/>
              </w:rPr>
            </w:pPr>
            <w:r>
              <w:rPr>
                <w:sz w:val="22"/>
              </w:rPr>
              <w:t>Fax: (713) 646-2443</w:t>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Phone: (713) 853-1771</w:t>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pStyle w:val="Normal"/>
        <w:rPr>
          <w:b/>
          <w:sz w:val="22"/>
        </w:rPr>
      </w:pPr>
      <w:r>
        <w:rPr>
          <w:b/>
          <w:sz w:val="22"/>
        </w:rPr>
        <w:t xml:space="preserve">COUNTERPARTY: PLEASE PROVIDE ABOVE REQUESTED INFORMATION IF NOT PROVIDED </w:t>
      </w:r>
    </w:p>
    <w:p>
      <w:pPr>
        <w:pStyle w:val="Normal"/>
        <w:rPr>
          <w:b/>
          <w:sz w:val="22"/>
        </w:rPr>
      </w:pPr>
      <w:r>
        <w:rPr>
          <w:b/>
          <w:sz w:val="22"/>
        </w:rPr>
        <w:t>PREVIOUSLY OR IF CHANGES HAVE OCCURRED</w:t>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Heading4"/>
        <w:ind w:hanging="0" w:start="0"/>
        <w:rPr/>
      </w:pPr>
      <w:r>
        <w:rPr/>
        <w:t>ANNEX A</w:t>
      </w:r>
    </w:p>
    <w:p>
      <w:pPr>
        <w:pStyle w:val="Normal"/>
        <w:rPr/>
      </w:pPr>
      <w:r>
        <w:rPr/>
      </w:r>
    </w:p>
    <w:p>
      <w:pPr>
        <w:pStyle w:val="Heading5"/>
        <w:ind w:hanging="0" w:start="0"/>
        <w:rPr/>
      </w:pPr>
      <w:r>
        <w:rPr/>
        <w:t>GENERAL TERMS AND CONDITIONS</w:t>
      </w:r>
    </w:p>
    <w:p>
      <w:pPr>
        <w:pStyle w:val="Normal"/>
        <w:jc w:val="center"/>
        <w:rPr>
          <w:b/>
          <w:sz w:val="20"/>
          <w:u w:val="single"/>
        </w:rPr>
      </w:pPr>
      <w:r>
        <w:rPr>
          <w:b/>
          <w:sz w:val="20"/>
          <w:u w:val="single"/>
        </w:rPr>
      </w:r>
    </w:p>
    <w:p>
      <w:pPr>
        <w:pStyle w:val="Normal"/>
        <w:rPr>
          <w:b/>
          <w:sz w:val="22"/>
          <w:u w:val="single"/>
        </w:rPr>
      </w:pPr>
      <w:r>
        <w:rPr>
          <w:b/>
          <w:sz w:val="22"/>
          <w:u w:val="single"/>
        </w:rPr>
      </w:r>
    </w:p>
    <w:p>
      <w:pPr>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pPr>
    </w:p>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ENA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rFonts w:cs="Arial Narrow" w:ascii="Arial Narrow" w:hAnsi="Arial Narrow"/>
          <w:sz w:val="18"/>
          <w:u w:val="single"/>
        </w:rPr>
        <w:t>Absence of Litigation</w:t>
      </w:r>
      <w:r>
        <w:rPr>
          <w:rFonts w:cs="Arial Narrow" w:ascii="Arial Narrow" w:hAnsi="Arial Narrow"/>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Confirmation or any Credit Support Document to which it or its Affiliates is a party or its or its Affiliates ability to perform their respective obligations under this Confirmation or such Credit Support Document.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or (f) an event of default occurs (howsoever determined) under any other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Confirmation or otherwise any amounts payable by the Defaulting Party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Confirmation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ENA,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Confirmation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sz w:val="18"/>
        </w:rPr>
        <w:t>" means all swap, option or other financially-settled derivative transactions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cs="Arial Narrow"/>
          <w:sz w:val="18"/>
        </w:rPr>
      </w:pPr>
      <w:r>
        <w:rPr>
          <w:rFonts w:cs="Arial Narrow" w:ascii="Arial Narrow" w:hAnsi="Arial Narrow"/>
          <w:sz w:val="18"/>
        </w:rPr>
      </w:r>
    </w:p>
    <w:p>
      <w:pPr>
        <w:pStyle w:val="Normal"/>
        <w:rPr>
          <w:sz w:val="22"/>
        </w:rPr>
      </w:pPr>
      <w:r>
        <w:rPr>
          <w:sz w:val="22"/>
        </w:rPr>
      </w:r>
    </w:p>
    <w:sectPr>
      <w:type w:val="continuous"/>
      <w:pgSz w:w="12240" w:h="15840"/>
      <w:pgMar w:left="1152" w:right="864" w:gutter="0" w:header="720" w:top="864" w:footer="720" w:bottom="864"/>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u w:val="single"/>
      </w:rPr>
    </w:pPr>
    <w:r>
      <w:rPr>
        <w:sz w:val="20"/>
        <w:u w:val="single"/>
      </w:rPr>
      <w:t>ENA/U.S. Counterparty</w:t>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52.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p>
    <w:pPr>
      <w:pStyle w:val="Footer"/>
      <w:rPr>
        <w:sz w:val="20"/>
        <w:u w:val="single"/>
      </w:rPr>
    </w:pPr>
    <w:r>
      <w:rPr>
        <w:sz w:val="20"/>
        <w:u w:val="single"/>
      </w:rPr>
      <w:t>Revision of 03/02/00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rPr/>
    </w:pPr>
    <w:r>
      <w:rPr>
        <w:b/>
      </w:rPr>
      <w:t>DRAFT-For Discussion Purposes Only</w:t>
    </w:r>
    <w:r>
      <w:rPr/>
      <w:tab/>
      <w:tab/>
    </w:r>
    <w:r>
      <w:rPr>
        <w:sz w:val="20"/>
      </w:rPr>
      <w:t xml:space="preserve">Deal No. </w:t>
    </w:r>
    <w:r>
      <w:rPr>
        <w:sz w:val="22"/>
      </w:rPr>
      <w:fldChar w:fldCharType="begin"/>
    </w:r>
    <w:r>
      <w:rPr>
        <w:sz w:val="22"/>
      </w:rPr>
      <w:instrText xml:space="preserve"> TITLE </w:instrText>
    </w:r>
    <w:r>
      <w:rPr>
        <w:sz w:val="22"/>
      </w:rPr>
      <w:fldChar w:fldCharType="separate"/>
    </w:r>
    <w:r>
      <w:rPr>
        <w:sz w:val="22"/>
      </w:rPr>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2"/>
      <w:u w:val="single"/>
      <w:lang w:eastAsia="en-US"/>
    </w:rPr>
  </w:style>
  <w:style w:type="paragraph" w:styleId="Heading2">
    <w:name w:val="heading 2"/>
    <w:basedOn w:val="Normal"/>
    <w:next w:val="Normal"/>
    <w:qFormat/>
    <w:pPr>
      <w:keepNext w:val="true"/>
      <w:numPr>
        <w:ilvl w:val="1"/>
        <w:numId w:val="1"/>
      </w:numPr>
      <w:jc w:val="center"/>
      <w:outlineLvl w:val="1"/>
    </w:pPr>
    <w:rPr>
      <w:b/>
      <w:sz w:val="22"/>
      <w:lang w:eastAsia="en-US"/>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jc w:val="center"/>
      <w:outlineLvl w:val="3"/>
    </w:pPr>
    <w:rPr>
      <w:b/>
      <w:sz w:val="20"/>
      <w:u w:val="single"/>
    </w:rPr>
  </w:style>
  <w:style w:type="paragraph" w:styleId="Heading5">
    <w:name w:val="heading 5"/>
    <w:basedOn w:val="Normal"/>
    <w:next w:val="Normal"/>
    <w:qFormat/>
    <w:pPr>
      <w:keepNext w:val="true"/>
      <w:numPr>
        <w:ilvl w:val="4"/>
        <w:numId w:val="1"/>
      </w:numPr>
      <w:jc w:val="center"/>
      <w:outlineLvl w:val="4"/>
    </w:pPr>
    <w:rPr>
      <w:b/>
      <w:sz w:val="20"/>
    </w:rPr>
  </w:style>
  <w:style w:type="paragraph" w:styleId="Heading6">
    <w:name w:val="heading 6"/>
    <w:basedOn w:val="Normal"/>
    <w:next w:val="Normal"/>
    <w:qFormat/>
    <w:pPr>
      <w:keepNext w:val="true"/>
      <w:numPr>
        <w:ilvl w:val="5"/>
        <w:numId w:val="1"/>
      </w:numPr>
      <w:outlineLvl w:val="5"/>
    </w:pPr>
    <w:rPr>
      <w:b/>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2000-12-21T16:39:00Z</dcterms:created>
  <dc:creator>ECT</dc:creator>
  <dc:description/>
  <dc:language>en-CA</dc:language>
  <cp:lastModifiedBy>Melissa Murphy</cp:lastModifiedBy>
  <cp:lastPrinted>2000-12-21T15:26:00Z</cp:lastPrinted>
  <dcterms:modified xsi:type="dcterms:W3CDTF">2000-12-21T19:17:00Z</dcterms:modified>
  <cp:revision>4</cp:revision>
  <dc:subject/>
  <dc:title/>
</cp:coreProperties>
</file>