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2160" w:leader="none"/>
        </w:tabs>
        <w:ind w:hanging="720" w:start="5040" w:end="0"/>
        <w:rPr/>
      </w:pPr>
      <w:r>
        <w:rPr/>
        <w:drawing>
          <wp:inline distT="0" distB="0" distL="0" distR="0">
            <wp:extent cx="1167130" cy="11518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67130" cy="1151890"/>
                    </a:xfrm>
                    <a:prstGeom prst="rect">
                      <a:avLst/>
                    </a:prstGeom>
                    <a:noFill/>
                  </pic:spPr>
                </pic:pic>
              </a:graphicData>
            </a:graphic>
          </wp:inline>
        </w:drawing>
      </w:r>
      <w:r>
        <w:rPr>
          <w:b/>
          <w:sz w:val="20"/>
        </w:rPr>
        <w:t>Enron North America Corp.</w:t>
      </w:r>
    </w:p>
    <w:p>
      <w:pPr>
        <w:pStyle w:val="Normal"/>
        <w:rPr>
          <w:rFonts w:ascii="Times New Roman" w:hAnsi="Times New Roman" w:cs="Times New Roman"/>
          <w:i/>
          <w:i/>
          <w:sz w:val="20"/>
        </w:rPr>
      </w:pPr>
      <w:r>
        <w:rPr>
          <w:rFonts w:cs="Times New Roman" w:ascii="Times New Roman" w:hAnsi="Times New Roman"/>
          <w:i/>
          <w:sz w:val="20"/>
        </w:rPr>
        <w:t>®</w:t>
        <w:tab/>
        <w:tab/>
        <w:tab/>
        <w:tab/>
        <w:tab/>
        <w:tab/>
        <w:t>PO. Box 1188</w:t>
      </w:r>
    </w:p>
    <w:p>
      <w:pPr>
        <w:pStyle w:val="Normal"/>
        <w:ind w:hanging="720" w:start="5040" w:end="0"/>
        <w:rPr>
          <w:rFonts w:ascii="Times New Roman" w:hAnsi="Times New Roman" w:cs="Times New Roman"/>
          <w:i/>
          <w:i/>
          <w:sz w:val="20"/>
        </w:rPr>
      </w:pPr>
      <w:r>
        <w:rPr>
          <w:rFonts w:cs="Times New Roman" w:ascii="Times New Roman" w:hAnsi="Times New Roman"/>
          <w:i/>
          <w:sz w:val="20"/>
        </w:rPr>
        <w:t>Houston, TX 77251-1188</w:t>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jc w:val="center"/>
        <w:rPr>
          <w:rFonts w:ascii="Times New Roman" w:hAnsi="Times New Roman" w:cs="Times New Roman"/>
          <w:sz w:val="22"/>
        </w:rPr>
      </w:pPr>
      <w:r>
        <w:rPr>
          <w:rFonts w:cs="Times New Roman" w:ascii="Times New Roman" w:hAnsi="Times New Roman"/>
          <w:sz w:val="22"/>
        </w:rPr>
        <w:t>January 9,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NRG Development Company Inc.</w:t>
      </w:r>
    </w:p>
    <w:p>
      <w:pPr>
        <w:pStyle w:val="Normal"/>
        <w:rPr>
          <w:rFonts w:ascii="Times New Roman" w:hAnsi="Times New Roman" w:cs="Times New Roman"/>
          <w:sz w:val="22"/>
        </w:rPr>
      </w:pPr>
      <w:r>
        <w:rPr>
          <w:rFonts w:cs="Times New Roman" w:ascii="Times New Roman" w:hAnsi="Times New Roman"/>
          <w:sz w:val="22"/>
        </w:rPr>
        <w:t>750 B Street, Suite 2740</w:t>
      </w:r>
    </w:p>
    <w:p>
      <w:pPr>
        <w:pStyle w:val="Normal"/>
        <w:rPr>
          <w:rFonts w:ascii="Times New Roman" w:hAnsi="Times New Roman" w:cs="Times New Roman"/>
          <w:sz w:val="22"/>
        </w:rPr>
      </w:pPr>
      <w:r>
        <w:rPr>
          <w:rFonts w:cs="Times New Roman" w:ascii="Times New Roman" w:hAnsi="Times New Roman"/>
          <w:sz w:val="22"/>
        </w:rPr>
        <w:t>San Diego, California  92101</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rPr>
          <w:rFonts w:ascii="Times New Roman" w:hAnsi="Times New Roman" w:cs="Times New Roman"/>
          <w:sz w:val="22"/>
        </w:rPr>
      </w:pPr>
      <w:r>
        <w:rPr>
          <w:rFonts w:cs="Times New Roman" w:ascii="Times New Roman" w:hAnsi="Times New Roman"/>
          <w:sz w:val="22"/>
        </w:rPr>
        <w:t>Attn.:  Mr. Scott Magie</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1440" w:end="0"/>
        <w:rPr>
          <w:rFonts w:ascii="Times New Roman" w:hAnsi="Times New Roman" w:cs="Times New Roman"/>
          <w:b/>
          <w:sz w:val="22"/>
        </w:rPr>
      </w:pPr>
      <w:r>
        <w:rPr>
          <w:rFonts w:cs="Times New Roman" w:ascii="Times New Roman" w:hAnsi="Times New Roman"/>
          <w:b/>
          <w:sz w:val="22"/>
        </w:rPr>
        <w:t>Re:</w:t>
        <w:tab/>
        <w:t>Confidentiality Agreement between Enron North America Corp. (“ENA”) and NRG Development Company, Inc. (“NRG”)</w:t>
      </w:r>
    </w:p>
    <w:p>
      <w:pPr>
        <w:pStyle w:val="Normal"/>
        <w:ind w:hanging="720" w:start="1440" w:end="0"/>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ENA is prepared to furnish NRG Development Company, Inc. (“NRG”) with certain information which is either confidential, proprietary or generally not available to the public, including confidential or proprietary information provided to ENA by third parties and which is the subject of a confidentiality agreement between ENA and the third party (all of the information referred to herein as “Confidential Information”).  This Confidential Information is being provided in connection with discussions concerning a proposed power generation project using a single General Electric 7EA (the “Proposed Transaction”).  As a condition to furnishing Confidential Information, NRG and ENA each agree to the following:</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 xml:space="preserve">NRG shall not disclose ENA’s Confidential Information without ENA’s prior written consent; </w:t>
      </w:r>
      <w:r>
        <w:rPr>
          <w:sz w:val="22"/>
          <w:u w:val="single"/>
        </w:rPr>
        <w:t>provided</w:t>
      </w:r>
      <w:r>
        <w:rPr>
          <w:sz w:val="22"/>
        </w:rPr>
        <w:t xml:space="preserve">, </w:t>
      </w:r>
      <w:r>
        <w:rPr>
          <w:sz w:val="22"/>
          <w:u w:val="single"/>
        </w:rPr>
        <w:t>however</w:t>
      </w:r>
      <w:r>
        <w:rPr>
          <w:sz w:val="22"/>
        </w:rPr>
        <w:t>, NRG may disclose:  (a) ENA’s Confidential Information to NRG’s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NRG at the time of disclosure by ENA; (iii) is acquired from a third party not prohibited from making disclosure; or (iv) is required to be disclosed to comply with any applicable law, order, regulation or ruling.</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 xml:space="preserve">NRG further agrees that all Confidential Information of ENA furnished hereunder shall be used by NRG solely for purposes of considering and evaluating the Proposed Transaction.  NRG shall take such actions to protect ENA’s Confidential Information as are consistent with its practices to protect its own proprietary and/or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Upon ENA’s request, NRG shall return all written Confidential Information of ENA, except for that portion of such Confidential Information that may be found in analyses, compilations, studies or other documents prepared by, or for, NRG, and NRG and its Representatives shall not retain any copies of such written Confidential Information.  The portion of written Confidential Information that may be found in analyses, compilations, studies or other documents prepared by, or for, NRG, any oral Confidential Information furnished by ENA and any written Confidential Information furnished by ENA not so requested or returned, will be held by NRG and kept subject to the terms of this agreement, or destroyed.</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Although ENA, in furnishing information, including Confidential Information, has endeavored to include materials which ENA believes to be reliable and relevant for NRG's evaluation, ENA makes no representation or warranty as to the accuracy or completeness of any such provided information.  Furthermore, neither ENA nor its Representatives shall have any liability to either NRG or its Representatives resulting from the use of any such information by NRG or its Representatives.</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NRG shall be liable for any breach of this agreement by NRG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Neither this agreement nor any communications between ENA and NRG shall be deemed to create any obligation or liability for ENA or NRG to proceed with the Proposed Transaction unless and until ENA and NRG so agree in writing.  This agreement neither obligates a party to deal exclusively with the other party nor prevents a party or any of its affiliates from competing with the other party or any of its affiliates, so long as such party does not breach this agreement.  ENA and NRG agree that no joint venture, partnership, or other fiduciary relationship shall be deemed to exist or arise with respect to the Proposed Transaction as a result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NRG agrees to refrain, and to cause its Representatives to refrain, from issuing any press release, advertisement in the trade press, or tombstone in the financial or trade press, in connection with the Proposed Transaction without the prior written consent of ENA, provided that NRG may issue such public notice without the prior written consent of ENA if in the opinion of NRG’s legal counsel, such issuance is necessary to comply with the requirements of the New York Stock Exchange or other regulatory body having jurisdiction over NRG.  NRG shall provide prior written notice of the need to issue such public notice pursuant to this paragraph and shall disclose information only to the extent necessary to comply with the requirements of the New York Stock Exchange or other regulatory body having jurisdiction over NRG.  Such written notice shall be in writing and shall be deemed given if sent by (a)United States mail, (b) facsimile, or (c) electronic mail as follows:</w:t>
      </w:r>
    </w:p>
    <w:p>
      <w:pPr>
        <w:pStyle w:val="BodyText"/>
        <w:rPr>
          <w:sz w:val="22"/>
        </w:rPr>
      </w:pPr>
      <w:r>
        <w:rPr>
          <w:sz w:val="22"/>
        </w:rPr>
      </w:r>
    </w:p>
    <w:p>
      <w:pPr>
        <w:pStyle w:val="BodyText"/>
        <w:rPr>
          <w:sz w:val="22"/>
        </w:rPr>
      </w:pPr>
      <w:r>
        <w:rPr>
          <w:sz w:val="22"/>
        </w:rPr>
        <w:t>C. Kay Mann</w:t>
        <w:tab/>
        <w:tab/>
        <w:tab/>
        <w:tab/>
        <w:tab/>
        <w:tab/>
        <w:t>Ben Jacoby</w:t>
      </w:r>
    </w:p>
    <w:p>
      <w:pPr>
        <w:pStyle w:val="BodyText"/>
        <w:rPr>
          <w:sz w:val="22"/>
        </w:rPr>
      </w:pPr>
      <w:r>
        <w:rPr>
          <w:sz w:val="22"/>
        </w:rPr>
        <w:t>ENA Legal Department</w:t>
        <w:tab/>
        <w:tab/>
        <w:tab/>
        <w:tab/>
        <w:tab/>
        <w:t>ENA East Origination</w:t>
      </w:r>
    </w:p>
    <w:p>
      <w:pPr>
        <w:pStyle w:val="BodyText"/>
        <w:rPr>
          <w:sz w:val="22"/>
        </w:rPr>
      </w:pPr>
      <w:r>
        <w:rPr>
          <w:sz w:val="22"/>
        </w:rPr>
        <w:t>1400 Smith Street</w:t>
        <w:tab/>
        <w:tab/>
        <w:tab/>
        <w:tab/>
        <w:tab/>
        <w:t>1400 Smith Street</w:t>
      </w:r>
    </w:p>
    <w:p>
      <w:pPr>
        <w:pStyle w:val="BodyText"/>
        <w:rPr>
          <w:sz w:val="22"/>
        </w:rPr>
      </w:pPr>
      <w:r>
        <w:rPr>
          <w:sz w:val="22"/>
        </w:rPr>
        <w:t>Houston, TX  77002</w:t>
        <w:tab/>
        <w:tab/>
        <w:tab/>
        <w:tab/>
        <w:tab/>
        <w:t>Houston, TX 77002</w:t>
      </w:r>
    </w:p>
    <w:p>
      <w:pPr>
        <w:pStyle w:val="BodyText"/>
        <w:rPr>
          <w:sz w:val="22"/>
        </w:rPr>
      </w:pPr>
      <w:r>
        <w:rPr>
          <w:sz w:val="22"/>
        </w:rPr>
        <w:t>Fax (713) 646-3393</w:t>
        <w:tab/>
        <w:tab/>
        <w:tab/>
        <w:tab/>
        <w:tab/>
        <w:t>(713) 646-3037</w:t>
      </w:r>
    </w:p>
    <w:p>
      <w:pPr>
        <w:pStyle w:val="BodyText"/>
        <w:rPr>
          <w:sz w:val="22"/>
        </w:rPr>
      </w:pPr>
      <w:r>
        <w:rPr>
          <w:sz w:val="22"/>
        </w:rPr>
        <w:t>email:  kay.mann@enron.com</w:t>
        <w:tab/>
        <w:tab/>
        <w:tab/>
        <w:tab/>
        <w:t>email:  ben.jacoby@enron.com</w:t>
      </w:r>
    </w:p>
    <w:p>
      <w:pPr>
        <w:pStyle w:val="BodyText"/>
        <w:rPr>
          <w:sz w:val="22"/>
        </w:rPr>
      </w:pPr>
      <w:r>
        <w:rPr>
          <w:sz w:val="22"/>
        </w:rPr>
      </w:r>
    </w:p>
    <w:p>
      <w:pPr>
        <w:pStyle w:val="BodyText"/>
        <w:rPr>
          <w:sz w:val="22"/>
        </w:rPr>
      </w:pPr>
      <w:r>
        <w:rPr>
          <w:sz w:val="22"/>
        </w:rPr>
        <w:t>with a copy to:</w:t>
      </w:r>
    </w:p>
    <w:p>
      <w:pPr>
        <w:pStyle w:val="BodyText"/>
        <w:rPr>
          <w:sz w:val="22"/>
        </w:rPr>
      </w:pPr>
      <w:r>
        <w:rPr>
          <w:sz w:val="22"/>
        </w:rPr>
        <w:t>Fred Mitro</w:t>
      </w:r>
    </w:p>
    <w:p>
      <w:pPr>
        <w:pStyle w:val="BodyText"/>
        <w:rPr>
          <w:sz w:val="22"/>
        </w:rPr>
      </w:pPr>
      <w:r>
        <w:rPr>
          <w:sz w:val="22"/>
        </w:rPr>
        <w:t>ENA East Origination</w:t>
      </w:r>
    </w:p>
    <w:p>
      <w:pPr>
        <w:pStyle w:val="BodyText"/>
        <w:rPr>
          <w:sz w:val="22"/>
        </w:rPr>
      </w:pPr>
      <w:r>
        <w:rPr>
          <w:sz w:val="22"/>
        </w:rPr>
        <w:t>1400 Smith Street</w:t>
      </w:r>
    </w:p>
    <w:p>
      <w:pPr>
        <w:pStyle w:val="BodyText"/>
        <w:rPr>
          <w:sz w:val="22"/>
        </w:rPr>
      </w:pPr>
      <w:r>
        <w:rPr>
          <w:sz w:val="22"/>
        </w:rPr>
        <w:t>Houston, TX 77002</w:t>
      </w:r>
    </w:p>
    <w:p>
      <w:pPr>
        <w:pStyle w:val="BodyText"/>
        <w:rPr>
          <w:sz w:val="22"/>
        </w:rPr>
      </w:pPr>
      <w:r>
        <w:rPr>
          <w:sz w:val="22"/>
        </w:rPr>
        <w:t>Fax (713) 646-3037</w:t>
      </w:r>
    </w:p>
    <w:p>
      <w:pPr>
        <w:pStyle w:val="BodyText"/>
        <w:rPr>
          <w:sz w:val="22"/>
        </w:rPr>
      </w:pPr>
      <w:r>
        <w:rPr>
          <w:sz w:val="22"/>
        </w:rPr>
        <w:t>email:  fred.mitro@enron.com</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This agreement shall be binding upon and for the benefit of ENA and NRG and their respective representatives, successors, and permitted assigns.  Neither ENA nor NRG may assign its rights or obligations hereunder without the prior written consent of the other party.</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rFonts w:ascii="Times New Roman" w:hAnsi="Times New Roman" w:cs="Times New Roman"/>
          <w:sz w:val="22"/>
        </w:rPr>
      </w:pPr>
      <w:r>
        <w:rPr>
          <w:rFonts w:cs="Times New Roman" w:ascii="Times New Roman" w:hAnsi="Times New Roman"/>
          <w:sz w:val="22"/>
        </w:rPr>
      </w:r>
    </w:p>
    <w:p>
      <w:pPr>
        <w:pStyle w:val="Heading1"/>
        <w:keepNext w:val="false"/>
        <w:ind w:hanging="0" w:start="0"/>
        <w:rPr>
          <w:sz w:val="22"/>
        </w:rPr>
      </w:pPr>
      <w:r>
        <w:rPr>
          <w:sz w:val="22"/>
        </w:rPr>
        <w:t>This agreement shall terminate on the date two (2) years from the date of this letter, unless terminated in writing by mutual consent of the parties.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IN WITNESS WHEREOF, ENA and NRG hereto have executed this agreement in duplicate originals to be effective as of the day and year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b/>
        <w:tab/>
        <w:tab/>
        <w:tab/>
        <w:tab/>
        <w:t>Very truly yours,</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ab/>
        <w:tab/>
        <w:tab/>
        <w:tab/>
        <w:tab/>
        <w:tab/>
        <w:tab/>
      </w:r>
      <w:r>
        <w:rPr>
          <w:rFonts w:cs="Times New Roman" w:ascii="Times New Roman" w:hAnsi="Times New Roman"/>
          <w:b/>
          <w:sz w:val="22"/>
        </w:rPr>
        <w:t>ENRON NORTH AMERICA CORP.</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ab/>
        <w:tab/>
        <w:tab/>
        <w:tab/>
        <w:tab/>
        <w:tab/>
        <w:tab/>
        <w:t>By:______________________________________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b/>
        <w:tab/>
        <w:tab/>
        <w:tab/>
        <w:tab/>
        <w:t>Name:____________________________________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b/>
        <w:tab/>
        <w:tab/>
        <w:tab/>
        <w:tab/>
        <w:t>Title:_____________________________________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Agreed and accepted this</w:t>
      </w:r>
    </w:p>
    <w:p>
      <w:pPr>
        <w:pStyle w:val="Normal"/>
        <w:rPr>
          <w:rFonts w:ascii="Times New Roman" w:hAnsi="Times New Roman" w:cs="Times New Roman"/>
          <w:sz w:val="22"/>
        </w:rPr>
      </w:pPr>
      <w:r>
        <w:rPr>
          <w:rFonts w:cs="Times New Roman" w:ascii="Times New Roman" w:hAnsi="Times New Roman"/>
          <w:sz w:val="22"/>
        </w:rPr>
        <w:t>_____ day of January, 2001.</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NRG DEVELOPMENT COMPANY INC.</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By:__________________________________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Name:_______________________________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Title:________________________________</w:t>
      </w:r>
    </w:p>
    <w:p>
      <w:pPr>
        <w:pStyle w:val="Normal"/>
        <w:rPr>
          <w:rFonts w:ascii="Times New Roman" w:hAnsi="Times New Roman" w:cs="Times New Roman"/>
          <w:i/>
          <w:i/>
          <w:sz w:val="22"/>
        </w:rPr>
      </w:pPr>
      <w:r>
        <w:rPr>
          <w:rFonts w:cs="Times New Roman" w:ascii="Times New Roman" w:hAnsi="Times New Roman"/>
          <w:i/>
          <w:sz w:val="22"/>
        </w:rPr>
      </w:r>
    </w:p>
    <w:sectPr>
      <w:headerReference w:type="default" r:id="rId3"/>
      <w:headerReference w:type="first" r:id="rId4"/>
      <w:footerReference w:type="default" r:id="rId5"/>
      <w:footerReference w:type="first" r:id="rId6"/>
      <w:type w:val="nextPage"/>
      <w:pgSz w:w="12240" w:h="15840"/>
      <w:pgMar w:left="1152" w:right="1152" w:gutter="0" w:header="720" w:top="1152"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color w:val="0000FF"/>
        <w:sz w:val="22"/>
      </w:rPr>
    </w:pPr>
    <w:r>
      <w:rPr>
        <w:b/>
        <w:color w:val="0000FF"/>
        <w:sz w:val="22"/>
      </w:rPr>
    </w:r>
  </w:p>
  <w:p>
    <w:pPr>
      <w:pStyle w:val="Footer"/>
      <w:jc w:val="center"/>
      <w:rPr/>
    </w:pPr>
    <w:r>
      <w:rPr>
        <w:b/>
        <w:color w:val="0000FF"/>
        <w:sz w:val="22"/>
      </w:rPr>
      <w:t>Endless possibilities.</w:t>
    </w:r>
    <w:r>
      <w:rPr>
        <w:b/>
        <w:color w:val="0000FF"/>
        <w:sz w:val="18"/>
        <w:vertAlign w:val="superscript"/>
      </w:rPr>
      <w:t>TM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Mr. Scott Magie</w:t>
    </w:r>
  </w:p>
  <w:p>
    <w:pPr>
      <w:pStyle w:val="Header"/>
      <w:rPr>
        <w:rFonts w:ascii="Times New Roman" w:hAnsi="Times New Roman" w:cs="Times New Roman"/>
        <w:sz w:val="22"/>
      </w:rPr>
    </w:pPr>
    <w:r>
      <w:rPr>
        <w:rFonts w:cs="Times New Roman" w:ascii="Times New Roman" w:hAnsi="Times New Roman"/>
        <w:sz w:val="22"/>
      </w:rPr>
      <w:t>NRG Development Company, Inc.</w:t>
    </w:r>
  </w:p>
  <w:p>
    <w:pPr>
      <w:pStyle w:val="Header"/>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BodyText"/>
    <w:qFormat/>
    <w:pPr>
      <w:keepNext w:val="true"/>
      <w:numPr>
        <w:ilvl w:val="0"/>
        <w:numId w:val="1"/>
      </w:numPr>
      <w:jc w:val="both"/>
      <w:outlineLvl w:val="0"/>
    </w:pPr>
    <w:rPr>
      <w:rFonts w:ascii="Times New Roman" w:hAnsi="Times New Roman" w:cs="Times New Roman"/>
    </w:rPr>
  </w:style>
  <w:style w:type="character" w:styleId="WW8Num5z0">
    <w:name w:val="WW8Num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b/>
      <w:sz w:val="20"/>
    </w:rPr>
  </w:style>
  <w:style w:type="paragraph" w:styleId="HeaderLeft">
    <w:name w:val="Header Left"/>
    <w:basedOn w:val="Header"/>
    <w:qFormat/>
    <w:pPr>
      <w:suppressLineNumbers/>
      <w:tabs>
        <w:tab w:val="clear" w:pos="4320"/>
        <w:tab w:val="clear" w:pos="8640"/>
        <w:tab w:val="center" w:pos="4968" w:leader="none"/>
        <w:tab w:val="right" w:pos="993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2001-01-09T13:10:00Z</dcterms:created>
  <dc:creator>m v</dc:creator>
  <dc:description/>
  <dc:language>en-CA</dc:language>
  <cp:lastModifiedBy>kathleen carnahan</cp:lastModifiedBy>
  <cp:lastPrinted>2001-01-09T09:54:00Z</cp:lastPrinted>
  <dcterms:modified xsi:type="dcterms:W3CDTF">2001-01-09T13:26:00Z</dcterms:modified>
  <cp:revision>3</cp:revision>
  <dc:subject/>
  <dc:title>10 Oct 97</dc:title>
</cp:coreProperties>
</file>