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OUTLINE OF A PORTFOLIO MANAGEMENT BILL [3/16/01]</w:t>
      </w:r>
    </w:p>
    <w:p>
      <w:pPr>
        <w:pStyle w:val="Normal"/>
        <w:rPr>
          <w:sz w:val="22"/>
        </w:rPr>
      </w:pPr>
      <w:r>
        <w:rPr>
          <w:sz w:val="22"/>
        </w:rPr>
      </w:r>
    </w:p>
    <w:p>
      <w:pPr>
        <w:pStyle w:val="Normal"/>
        <w:rPr>
          <w:sz w:val="22"/>
        </w:rPr>
      </w:pPr>
      <w:r>
        <w:rPr>
          <w:sz w:val="22"/>
        </w:rPr>
        <w:t>FINDING: The public interest requires that all Californians have access to affordable, environmentally sound electricity services, supplied by electric-resource portfolio managers selected and regulated by the California Public Utilities Commission and the boards of consumer-owned utilities.</w:t>
      </w:r>
    </w:p>
    <w:p>
      <w:pPr>
        <w:pStyle w:val="Normal"/>
        <w:rPr>
          <w:sz w:val="22"/>
        </w:rPr>
      </w:pPr>
      <w:r>
        <w:rPr>
          <w:sz w:val="22"/>
        </w:rPr>
      </w:r>
    </w:p>
    <w:p>
      <w:pPr>
        <w:pStyle w:val="Normal"/>
        <w:rPr>
          <w:sz w:val="22"/>
        </w:rPr>
      </w:pPr>
      <w:r>
        <w:rPr>
          <w:sz w:val="22"/>
        </w:rPr>
        <w:t>1. Within one year of the effective date of this legislation, the California Public Utilities Commission will designate one or more electric-resource portfolio managers for the service territories of the state’s investor-owned electric distribution companies.  Eligible competitors for this function include, but are not limited to, electric distribution companies, municipalities, and cooperatives.  Winning applicants must provide portfolio management service for all customers within a defined geographic area who do not choose service from another provider.</w:t>
      </w:r>
    </w:p>
    <w:p>
      <w:pPr>
        <w:pStyle w:val="Normal"/>
        <w:rPr>
          <w:sz w:val="22"/>
        </w:rPr>
      </w:pPr>
      <w:r>
        <w:rPr>
          <w:sz w:val="22"/>
        </w:rPr>
      </w:r>
    </w:p>
    <w:p>
      <w:pPr>
        <w:pStyle w:val="Normal"/>
        <w:rPr>
          <w:sz w:val="22"/>
        </w:rPr>
      </w:pPr>
      <w:r>
        <w:rPr>
          <w:sz w:val="22"/>
        </w:rPr>
        <w:t>2. “Portfolio management service” means a regulated electricity service consisting of a mix of purchased power from diverse sources, including central-station and distributed energy resources, and cost-effective energy efficiency improvements, which collectively are intended to minimize those customers’ electric bills and the volatility of electricity prices.  This service does not include ownership and operation of distribution and transmission systems.</w:t>
      </w:r>
    </w:p>
    <w:p>
      <w:pPr>
        <w:pStyle w:val="Normal"/>
        <w:rPr>
          <w:sz w:val="22"/>
        </w:rPr>
      </w:pPr>
      <w:r>
        <w:rPr>
          <w:sz w:val="22"/>
        </w:rPr>
      </w:r>
    </w:p>
    <w:p>
      <w:pPr>
        <w:pStyle w:val="Normal"/>
        <w:rPr>
          <w:sz w:val="22"/>
        </w:rPr>
      </w:pPr>
      <w:r>
        <w:rPr>
          <w:sz w:val="22"/>
        </w:rPr>
        <w:t>3. The Commission will choose portfolio managers based on responses to a request for proposals (RFP), which shall include the following elements:</w:t>
      </w:r>
    </w:p>
    <w:p>
      <w:pPr>
        <w:pStyle w:val="Normal"/>
        <w:rPr>
          <w:sz w:val="22"/>
        </w:rPr>
      </w:pPr>
      <w:r>
        <w:rPr>
          <w:sz w:val="22"/>
        </w:rPr>
      </w:r>
    </w:p>
    <w:p>
      <w:pPr>
        <w:pStyle w:val="Normal"/>
        <w:rPr>
          <w:sz w:val="22"/>
        </w:rPr>
      </w:pPr>
      <w:r>
        <w:rPr>
          <w:sz w:val="22"/>
        </w:rPr>
        <w:t>a. The service territory for which the applicant proposes to provide service;</w:t>
      </w:r>
    </w:p>
    <w:p>
      <w:pPr>
        <w:pStyle w:val="Normal"/>
        <w:rPr>
          <w:sz w:val="22"/>
        </w:rPr>
      </w:pPr>
      <w:r>
        <w:rPr>
          <w:sz w:val="22"/>
        </w:rPr>
      </w:r>
    </w:p>
    <w:p>
      <w:pPr>
        <w:pStyle w:val="Normal"/>
        <w:rPr>
          <w:sz w:val="22"/>
        </w:rPr>
      </w:pPr>
      <w:r>
        <w:rPr>
          <w:sz w:val="22"/>
        </w:rPr>
        <w:t xml:space="preserve">b. A plan for assembling an electric resource portfolio, including a strategy for ensuring diversity of supply and integrating cost-effective improvements in energy efficiency (including but not limited to those financed in whole or part with California’s system benefits charge); </w:t>
      </w:r>
    </w:p>
    <w:p>
      <w:pPr>
        <w:pStyle w:val="Normal"/>
        <w:rPr>
          <w:sz w:val="22"/>
        </w:rPr>
      </w:pPr>
      <w:r>
        <w:rPr>
          <w:sz w:val="22"/>
        </w:rPr>
      </w:r>
    </w:p>
    <w:p>
      <w:pPr>
        <w:pStyle w:val="Normal"/>
        <w:rPr>
          <w:sz w:val="22"/>
        </w:rPr>
      </w:pPr>
      <w:r>
        <w:rPr>
          <w:sz w:val="22"/>
        </w:rPr>
        <w:t>c. Evidence of the applicant’s creditworthiness and expertise in delivering portfolio management service; and</w:t>
      </w:r>
    </w:p>
    <w:p>
      <w:pPr>
        <w:pStyle w:val="Normal"/>
        <w:rPr>
          <w:sz w:val="22"/>
        </w:rPr>
      </w:pPr>
      <w:r>
        <w:rPr>
          <w:sz w:val="22"/>
        </w:rPr>
      </w:r>
    </w:p>
    <w:p>
      <w:pPr>
        <w:pStyle w:val="Normal"/>
        <w:rPr>
          <w:sz w:val="22"/>
        </w:rPr>
      </w:pPr>
      <w:r>
        <w:rPr>
          <w:sz w:val="22"/>
        </w:rPr>
        <w:t>d. Strategies for maintaining affordable and reliable electricity service under adverse conditions, including but not limited to volatile fossil fuel prices and grid failures.</w:t>
      </w:r>
    </w:p>
    <w:p>
      <w:pPr>
        <w:pStyle w:val="Normal"/>
        <w:rPr>
          <w:sz w:val="22"/>
        </w:rPr>
      </w:pPr>
      <w:r>
        <w:rPr>
          <w:sz w:val="22"/>
        </w:rPr>
      </w:r>
    </w:p>
    <w:p>
      <w:pPr>
        <w:pStyle w:val="BodyText"/>
        <w:rPr/>
      </w:pPr>
      <w:r>
        <w:rPr/>
        <w:t>4. The Commission shall regulate prices charged by its approved portfolio managers, may allocate to approved portfolio managers responsibility for administering part or all of the system benefits charge revenues administered by the Commission, and shall establish appropriate performance-based rewards and penalties that reflect managers’ success in minimizing customers’ electric bills and the volatility of electricity prices.</w:t>
      </w:r>
    </w:p>
    <w:p>
      <w:pPr>
        <w:pStyle w:val="Normal"/>
        <w:rPr>
          <w:sz w:val="22"/>
        </w:rPr>
      </w:pPr>
      <w:r>
        <w:rPr>
          <w:sz w:val="22"/>
        </w:rPr>
      </w:r>
    </w:p>
    <w:p>
      <w:pPr>
        <w:pStyle w:val="Normal"/>
        <w:rPr>
          <w:sz w:val="22"/>
        </w:rPr>
      </w:pPr>
      <w:r>
        <w:rPr>
          <w:sz w:val="22"/>
        </w:rPr>
        <w:t>5. No more than ten years following the award of initial portfolio management franchises, and no more than ten years thereafter, the Commission shall issue a new RFP covering some or all service territories, to test the availability of potentially superior managers.</w:t>
      </w:r>
    </w:p>
    <w:p>
      <w:pPr>
        <w:pStyle w:val="Normal"/>
        <w:rPr>
          <w:sz w:val="22"/>
        </w:rPr>
      </w:pPr>
      <w:r>
        <w:rPr>
          <w:sz w:val="22"/>
        </w:rPr>
      </w:r>
    </w:p>
    <w:p>
      <w:pPr>
        <w:pStyle w:val="Normal"/>
        <w:rPr>
          <w:sz w:val="22"/>
        </w:rPr>
      </w:pPr>
      <w:r>
        <w:rPr>
          <w:sz w:val="22"/>
        </w:rPr>
        <w:t>6. Within six months of the designation of a portfolio manager, all customers within its service territory shall have the right to choose an alternative supplier.  New customers shall have six months from the date of initial service to make this choice.  Customers who do not choose an alternative supplier may not do so thereafter except upon terms specified by the Commission that will protect the regulated service and its other customers from financial harm.  Commission regulations with this same objective also will apply to customers who seek to return to regulated service after choosing an alternative supplier.</w:t>
      </w:r>
    </w:p>
    <w:p>
      <w:pPr>
        <w:pStyle w:val="Normal"/>
        <w:rPr>
          <w:sz w:val="22"/>
        </w:rPr>
      </w:pPr>
      <w:r>
        <w:rPr>
          <w:sz w:val="22"/>
        </w:rPr>
      </w:r>
    </w:p>
    <w:p>
      <w:pPr>
        <w:pStyle w:val="Normal"/>
        <w:rPr>
          <w:sz w:val="22"/>
        </w:rPr>
      </w:pPr>
      <w:r>
        <w:rPr>
          <w:sz w:val="22"/>
        </w:rPr>
        <w:t>7. Boards of consumer-owned utilities will remain responsible for portfolio management services and any alternative choices available to customers of these utilities.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2001-03-16T13:59:00Z</dcterms:created>
  <dc:creator>law</dc:creator>
  <dc:description/>
  <dc:language>en-CA</dc:language>
  <cp:lastModifiedBy>RCavanagh</cp:lastModifiedBy>
  <dcterms:modified xsi:type="dcterms:W3CDTF">2001-03-16T14:19:00Z</dcterms:modified>
  <cp:revision>7</cp:revision>
  <dc:subject/>
  <dc:title>OUTLINE OF A PORTFOLIO MANAGEMENT BILL</dc:title>
</cp:coreProperties>
</file>