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 xml:space="preserve">PROPOSED OUTLINE FOR JOINT REPORT </w:t>
      </w:r>
    </w:p>
    <w:p>
      <w:pPr>
        <w:pStyle w:val="Normal"/>
        <w:jc w:val="center"/>
        <w:rPr/>
      </w:pPr>
      <w:r>
        <w:rPr/>
        <w:t>ON CALIFORNIA’S DEMAND RESPONSE TO THE ELECTRICITY CRISIS OF 2000-2001</w:t>
      </w:r>
    </w:p>
    <w:p>
      <w:pPr>
        <w:pStyle w:val="Normal"/>
        <w:jc w:val="center"/>
        <w:rPr/>
      </w:pPr>
      <w:r>
        <w:rPr/>
      </w:r>
    </w:p>
    <w:p>
      <w:pPr>
        <w:pStyle w:val="Normal"/>
        <w:jc w:val="center"/>
        <w:rPr/>
      </w:pPr>
      <w:r>
        <w:rPr/>
        <w:t>By the Natural Resources Defense Council and the Silicon Valley Manufacturing Group</w:t>
      </w:r>
    </w:p>
    <w:p>
      <w:pPr>
        <w:pStyle w:val="Normal"/>
        <w:jc w:val="center"/>
        <w:rPr/>
      </w:pPr>
      <w:r>
        <w:rPr/>
      </w:r>
    </w:p>
    <w:p>
      <w:pPr>
        <w:pStyle w:val="Normal"/>
        <w:jc w:val="center"/>
        <w:rPr/>
      </w:pPr>
      <w:r>
        <w:rPr/>
        <w:t>Planned Release Date:  August 24, 2001</w:t>
      </w:r>
    </w:p>
    <w:p>
      <w:pPr>
        <w:pStyle w:val="Normal"/>
        <w:jc w:val="center"/>
        <w:rPr/>
      </w:pPr>
      <w:r>
        <w:rPr/>
      </w:r>
    </w:p>
    <w:p>
      <w:pPr>
        <w:pStyle w:val="Normal"/>
        <w:jc w:val="center"/>
        <w:rPr/>
      </w:pPr>
      <w:r>
        <w:rPr/>
      </w:r>
    </w:p>
    <w:p>
      <w:pPr>
        <w:pStyle w:val="BodyText2"/>
        <w:rPr/>
      </w:pPr>
      <w:r>
        <w:rPr/>
        <w:t>The proposed outline for this report is subject to discussion, and of course, we will improve on the title.  Please direct all feedback on the outline to Ralph Cavanagh (</w:t>
      </w:r>
      <w:hyperlink r:id="rId2">
        <w:r>
          <w:rPr>
            <w:rStyle w:val="Hyperlink"/>
          </w:rPr>
          <w:t>rcavanagh@nrdc.org</w:t>
        </w:r>
      </w:hyperlink>
      <w:r>
        <w:rPr/>
        <w:t>) by July 13</w:t>
      </w:r>
      <w:r>
        <w:rPr>
          <w:vertAlign w:val="superscript"/>
        </w:rPr>
        <w:t>th</w:t>
      </w:r>
      <w:r>
        <w:rPr/>
        <w:t xml:space="preserve"> so he may take it into account while preparing the initial draft by July 23</w:t>
      </w:r>
      <w:r>
        <w:rPr>
          <w:vertAlign w:val="superscript"/>
        </w:rPr>
        <w:t>rd</w:t>
      </w:r>
      <w:r>
        <w:rPr/>
        <w:t>.</w:t>
      </w:r>
    </w:p>
    <w:p>
      <w:pPr>
        <w:pStyle w:val="Normal"/>
        <w:jc w:val="center"/>
        <w:rPr/>
      </w:pPr>
      <w:r>
        <w:rPr/>
      </w:r>
    </w:p>
    <w:p>
      <w:pPr>
        <w:pStyle w:val="Normal"/>
        <w:rPr/>
      </w:pPr>
      <w:r>
        <w:rPr/>
      </w:r>
    </w:p>
    <w:p>
      <w:pPr>
        <w:pStyle w:val="Heading1"/>
        <w:ind w:hanging="0" w:start="0"/>
        <w:rPr/>
      </w:pPr>
      <w:r>
        <w:rPr/>
        <w:t>TIMELINE FOR COMPLETING REPORT [approx. length 15-20 pages]</w:t>
      </w:r>
    </w:p>
    <w:p>
      <w:pPr>
        <w:pStyle w:val="Normal"/>
        <w:rPr/>
      </w:pPr>
      <w:r>
        <w:rPr/>
      </w:r>
    </w:p>
    <w:p>
      <w:pPr>
        <w:pStyle w:val="Normal"/>
        <w:numPr>
          <w:ilvl w:val="0"/>
          <w:numId w:val="3"/>
        </w:numPr>
        <w:rPr/>
      </w:pPr>
      <w:r>
        <w:rPr/>
        <w:t>Finalize proposed outline:  Friday 13 July</w:t>
      </w:r>
    </w:p>
    <w:p>
      <w:pPr>
        <w:pStyle w:val="Normal"/>
        <w:rPr/>
      </w:pPr>
      <w:r>
        <w:rPr/>
      </w:r>
    </w:p>
    <w:p>
      <w:pPr>
        <w:pStyle w:val="Normal"/>
        <w:ind w:start="360" w:end="0"/>
        <w:rPr/>
      </w:pPr>
      <w:r>
        <w:rPr/>
        <w:t>2.  Initial Hummel &amp; Bradley materials to Cavanagh: Wednesday 18 July</w:t>
      </w:r>
    </w:p>
    <w:p>
      <w:pPr>
        <w:pStyle w:val="Normal"/>
        <w:rPr/>
      </w:pPr>
      <w:r>
        <w:rPr/>
      </w:r>
    </w:p>
    <w:p>
      <w:pPr>
        <w:pStyle w:val="Normal"/>
        <w:numPr>
          <w:ilvl w:val="0"/>
          <w:numId w:val="2"/>
        </w:numPr>
        <w:rPr/>
      </w:pPr>
      <w:r>
        <w:rPr/>
        <w:t xml:space="preserve">Circulate initial draft:  Monday 23  July </w:t>
      </w:r>
    </w:p>
    <w:p>
      <w:pPr>
        <w:pStyle w:val="Normal"/>
        <w:rPr/>
      </w:pPr>
      <w:r>
        <w:rPr/>
      </w:r>
    </w:p>
    <w:p>
      <w:pPr>
        <w:pStyle w:val="Normal"/>
        <w:numPr>
          <w:ilvl w:val="0"/>
          <w:numId w:val="2"/>
        </w:numPr>
        <w:rPr/>
      </w:pPr>
      <w:r>
        <w:rPr/>
        <w:t>Comments on initial draft: Monday 30 July</w:t>
      </w:r>
    </w:p>
    <w:p>
      <w:pPr>
        <w:pStyle w:val="Normal"/>
        <w:rPr/>
      </w:pPr>
      <w:r>
        <w:rPr/>
      </w:r>
    </w:p>
    <w:p>
      <w:pPr>
        <w:pStyle w:val="Normal"/>
        <w:numPr>
          <w:ilvl w:val="0"/>
          <w:numId w:val="2"/>
        </w:numPr>
        <w:rPr/>
      </w:pPr>
      <w:r>
        <w:rPr/>
        <w:t>Circulate final draft:  Wednesday 8 August</w:t>
      </w:r>
    </w:p>
    <w:p>
      <w:pPr>
        <w:pStyle w:val="Normal"/>
        <w:rPr/>
      </w:pPr>
      <w:r>
        <w:rPr/>
      </w:r>
    </w:p>
    <w:p>
      <w:pPr>
        <w:pStyle w:val="Normal"/>
        <w:numPr>
          <w:ilvl w:val="0"/>
          <w:numId w:val="2"/>
        </w:numPr>
        <w:rPr/>
      </w:pPr>
      <w:r>
        <w:rPr/>
        <w:t>Final comments:  Friday 10 August</w:t>
      </w:r>
    </w:p>
    <w:p>
      <w:pPr>
        <w:pStyle w:val="Normal"/>
        <w:rPr/>
      </w:pPr>
      <w:r>
        <w:rPr/>
      </w:r>
    </w:p>
    <w:p>
      <w:pPr>
        <w:pStyle w:val="Normal"/>
        <w:numPr>
          <w:ilvl w:val="0"/>
          <w:numId w:val="2"/>
        </w:numPr>
        <w:rPr/>
      </w:pPr>
      <w:r>
        <w:rPr/>
        <w:t>Document into production:  Tuesday 14  August</w:t>
      </w:r>
    </w:p>
    <w:p>
      <w:pPr>
        <w:pStyle w:val="Normal"/>
        <w:rPr/>
      </w:pPr>
      <w:r>
        <w:rPr/>
      </w:r>
    </w:p>
    <w:p>
      <w:pPr>
        <w:pStyle w:val="Normal"/>
        <w:ind w:start="360" w:end="0"/>
        <w:rPr/>
      </w:pPr>
      <w:r>
        <w:rPr/>
        <w:t>8.  Document released to press &amp; public:  Friday 24 August</w:t>
      </w:r>
    </w:p>
    <w:p>
      <w:pPr>
        <w:pStyle w:val="Normal"/>
        <w:rPr/>
      </w:pPr>
      <w:r>
        <w:rPr/>
      </w:r>
    </w:p>
    <w:p>
      <w:pPr>
        <w:pStyle w:val="Normal"/>
        <w:rPr/>
      </w:pPr>
      <w:r>
        <w:rPr/>
        <w:t xml:space="preserve">PROPOSED AUTHORSHIP RESPONSIBILITY:  Cavanagh would be responsible for editing the text and incorporating comments;  he will rely extensively on Hummel for concise descriptions of the principal programs covered by section II and on Bradley/Hummel for the case study materials that are critical for section III.  Hummel would prepare the Appendix based on materials already developed for the NRDC-SVMG partnership, and provide compelling graphics based on the data below.  Bradley and colleagues would, of course, review all sections, starting immediately.  </w:t>
      </w:r>
      <w:r>
        <w:rPr>
          <w:b/>
          <w:bCs/>
        </w:rPr>
        <w:t>We need to discuss the logistics of report production</w:t>
      </w:r>
      <w:r>
        <w:rPr/>
        <w:t>; this schedule contemplates a very rapid turnaround for the August 24 version, which implies in-house production of at least the first run of copies at either NRDC, Silicon Energy or SVMG.</w:t>
      </w:r>
    </w:p>
    <w:p>
      <w:pPr>
        <w:pStyle w:val="Normal"/>
        <w:rPr/>
      </w:pPr>
      <w:r>
        <w:rPr/>
      </w:r>
    </w:p>
    <w:p>
      <w:pPr>
        <w:pStyle w:val="Normal"/>
        <w:rPr/>
      </w:pPr>
      <w:r>
        <w:rPr/>
      </w:r>
    </w:p>
    <w:p>
      <w:pPr>
        <w:pStyle w:val="Normal"/>
        <w:rPr/>
      </w:pPr>
      <w:r>
        <w:rPr/>
      </w:r>
    </w:p>
    <w:p>
      <w:pPr>
        <w:pStyle w:val="Normal"/>
        <w:rPr/>
      </w:pPr>
      <w:r>
        <w:rPr/>
      </w:r>
    </w:p>
    <w:p>
      <w:pPr>
        <w:pStyle w:val="Normal"/>
        <w:jc w:val="center"/>
        <w:rPr>
          <w:b/>
          <w:bCs/>
        </w:rPr>
      </w:pPr>
      <w:r>
        <w:rPr>
          <w:b/>
          <w:bCs/>
        </w:rPr>
      </w:r>
    </w:p>
    <w:p>
      <w:pPr>
        <w:pStyle w:val="Normal"/>
        <w:rPr/>
      </w:pPr>
      <w:r>
        <w:rPr>
          <w:b/>
          <w:bCs/>
        </w:rPr>
        <w:t>Principal Thesis of Report</w:t>
      </w:r>
      <w:r>
        <w:rPr/>
        <w:t>:  All elements of California society and government have contributed recently to extensive electricity demand reductions, substantially reducing the economic and environmental damage associated with the state’s worst postwar energy crisis.  Our report highlights policies and actions that have contributed to a remarkable collective achievement, while cautioning against complacency:  much remains to be done in order to lock in these gains and ensure that California never again approaches such a precipice.</w:t>
      </w:r>
    </w:p>
    <w:p>
      <w:pPr>
        <w:pStyle w:val="Normal"/>
        <w:rPr/>
      </w:pPr>
      <w:r>
        <w:rPr/>
      </w:r>
    </w:p>
    <w:p>
      <w:pPr>
        <w:pStyle w:val="Heading1"/>
        <w:ind w:hanging="0" w:start="0"/>
        <w:rPr/>
      </w:pPr>
      <w:r>
        <w:rPr/>
        <w:t>I.  Overview of Trends in California Electricity Consumption</w:t>
      </w:r>
    </w:p>
    <w:p>
      <w:pPr>
        <w:pStyle w:val="Normal"/>
        <w:rPr>
          <w:sz w:val="16"/>
        </w:rPr>
      </w:pPr>
      <w:r>
        <w:rPr>
          <w:sz w:val="16"/>
        </w:rPr>
      </w:r>
    </w:p>
    <w:p>
      <w:pPr>
        <w:pStyle w:val="Normal"/>
        <w:rPr/>
      </w:pPr>
      <w:r>
        <w:rPr/>
        <w:t>1.  Electricity consumption grew modestly in California during the decade of the 1990s, thanks in part to the effective coordination of utility investments in energy efficiency and the state’s minimum efficiency standards for buildings and equipment.  From 1990-1999, electricity use in California grew at an annual rate of about one percent, matching the state’s one-percent population growth. Over the same period, electricity use for the nation as a whole grew by 2.2 percent per year, more than twice the one-percent annual growth in the nation’s population.</w:t>
      </w:r>
      <w:r>
        <w:rPr>
          <w:rStyle w:val="FootnoteCharacters"/>
          <w:rStyle w:val="FootnoteReference"/>
        </w:rPr>
        <w:footnoteReference w:id="2"/>
      </w:r>
      <w:r>
        <w:rPr/>
        <w:t xml:space="preserve">  The California Energy Commission estimates that, by 1999, energy efficiency investments and standards had reduced California’s electricity loads by about 10,000 Megawatts:  the equivalent of 20 giant power plants.</w:t>
      </w:r>
      <w:r>
        <w:rPr>
          <w:rStyle w:val="FootnoteCharacters"/>
          <w:rStyle w:val="FootnoteReference"/>
        </w:rPr>
        <w:footnoteReference w:id="3"/>
      </w:r>
    </w:p>
    <w:p>
      <w:pPr>
        <w:pStyle w:val="Normal"/>
        <w:rPr/>
      </w:pPr>
      <w:r>
        <w:rPr/>
      </w:r>
    </w:p>
    <w:p>
      <w:pPr>
        <w:pStyle w:val="Normal"/>
        <w:rPr/>
      </w:pPr>
      <w:r>
        <w:rPr/>
        <w:t>2. For the year 2000, the California Energy Commission reports more rapid growth of about 4.6%. Robust economic growth (including a 9+ percent increase in personal income) and warmer weather both contributed.</w:t>
      </w:r>
      <w:r>
        <w:rPr>
          <w:rStyle w:val="FootnoteCharacters"/>
          <w:rStyle w:val="FootnoteReference"/>
        </w:rPr>
        <w:footnoteReference w:id="4"/>
      </w:r>
      <w:r>
        <w:rPr/>
        <w:t xml:space="preserve">  Still, from 1997-2000, the electricity intensity of California’s economy declined at an annual rate of about 4.4%, more than three times that for the rest of the nation.</w:t>
      </w:r>
      <w:r>
        <w:rPr>
          <w:rStyle w:val="FootnoteCharacters"/>
          <w:rStyle w:val="FootnoteReference"/>
        </w:rPr>
        <w:footnoteReference w:id="5"/>
      </w:r>
      <w:r>
        <w:rPr/>
        <w:t xml:space="preserve">   In the San Francisco Bay Area, the year 2000 capped five years of economic growth averaging  9% annually, with electricity consumption over the same period at only 2% per year.</w:t>
      </w:r>
      <w:r>
        <w:rPr>
          <w:rStyle w:val="FootnoteCharacters"/>
          <w:rStyle w:val="FootnoteReference"/>
        </w:rPr>
        <w:footnoteReference w:id="6"/>
      </w:r>
    </w:p>
    <w:p>
      <w:pPr>
        <w:pStyle w:val="Normal"/>
        <w:rPr/>
      </w:pPr>
      <w:r>
        <w:rPr/>
      </w:r>
    </w:p>
    <w:p>
      <w:pPr>
        <w:pStyle w:val="Normal"/>
        <w:rPr/>
      </w:pPr>
      <w:r>
        <w:rPr/>
        <w:t>3. The California Energy Commission reports the following data from the California Independent System Operator for the months of January – June 2001:  actual electricity use for the ISO control area (covering more than 80% of California electricity use) was down more than four percent over that six-month period (the most recent for which data are available), compared to a year earlier; and weather-adjusted electricity use for the ISO control was down more than six percent over that same six-month period, compared to a year earlier.  The most recent three-month period, ending in June 2001, produced a decline in actual electricity use of 5.1 percent and a weather-adjusted 7.9% decline. The California Energy Commission also maintains running estimates of weather-adjusted trends in peak load for the state; the Commission estimates that weather-adjusted peaks for April, May and June declined by about 6.3%, 8.3% and 12.2%, respectively, compared with the same months in 2000.</w:t>
      </w:r>
      <w:r>
        <w:rPr>
          <w:rStyle w:val="FootnoteCharacters"/>
          <w:rStyle w:val="FootnoteReference"/>
        </w:rPr>
        <w:footnoteReference w:id="7"/>
      </w:r>
      <w:r>
        <w:rPr/>
        <w:t xml:space="preserve">  The June 2001 reduction represents about 4,750 megawatts.</w:t>
      </w:r>
    </w:p>
    <w:p>
      <w:pPr>
        <w:pStyle w:val="Normal"/>
        <w:rPr/>
      </w:pPr>
      <w:r>
        <w:rPr/>
      </w:r>
    </w:p>
    <w:p>
      <w:pPr>
        <w:pStyle w:val="Normal"/>
        <w:rPr/>
      </w:pPr>
      <w:r>
        <w:rPr/>
      </w:r>
    </w:p>
    <w:p>
      <w:pPr>
        <w:pStyle w:val="BodyText2"/>
        <w:rPr/>
      </w:pPr>
      <w:r>
        <w:rPr/>
        <w:t>II.  Promoting Cost-Effective Energy Efficiency and Demand Reductions:  Recent Legislative and Regulatory Actions</w:t>
      </w:r>
    </w:p>
    <w:p>
      <w:pPr>
        <w:pStyle w:val="Normal"/>
        <w:rPr/>
      </w:pPr>
      <w:r>
        <w:rPr/>
      </w:r>
    </w:p>
    <w:p>
      <w:pPr>
        <w:pStyle w:val="Normal"/>
        <w:rPr/>
      </w:pPr>
      <w:r>
        <w:rPr/>
        <w:t>Summarize recent efforts to accelerate energy efficiency and demand reduction initiatives, including:</w:t>
      </w:r>
    </w:p>
    <w:p>
      <w:pPr>
        <w:pStyle w:val="Normal"/>
        <w:rPr/>
      </w:pPr>
      <w:r>
        <w:rPr/>
      </w:r>
    </w:p>
    <w:p>
      <w:pPr>
        <w:pStyle w:val="Normal"/>
        <w:rPr/>
      </w:pPr>
      <w:r>
        <w:rPr/>
        <w:t>1. SUSTAINED FINANCIAL INCENTIVES THROUGH ELECTRICITY RATES:</w:t>
      </w:r>
    </w:p>
    <w:p>
      <w:pPr>
        <w:pStyle w:val="Normal"/>
        <w:rPr/>
      </w:pPr>
      <w:r>
        <w:rPr/>
      </w:r>
    </w:p>
    <w:p>
      <w:pPr>
        <w:pStyle w:val="Normal"/>
        <w:ind w:firstLine="720" w:end="0"/>
        <w:rPr/>
      </w:pPr>
      <w:r>
        <w:rPr/>
        <w:t>E.g., SB 1194, AB 995 [utility-administered enegy efficiency programs; note and commend commitment of utilities despite financial crisis]</w:t>
      </w:r>
    </w:p>
    <w:p>
      <w:pPr>
        <w:pStyle w:val="Normal"/>
        <w:rPr/>
      </w:pPr>
      <w:r>
        <w:rPr/>
      </w:r>
    </w:p>
    <w:p>
      <w:pPr>
        <w:pStyle w:val="Normal"/>
        <w:rPr/>
      </w:pPr>
      <w:r>
        <w:rPr/>
        <w:t>2. EMERGENCY FINANCIAL INCENTIVES THROUGH GENERAL FUND:</w:t>
      </w:r>
    </w:p>
    <w:p>
      <w:pPr>
        <w:pStyle w:val="Normal"/>
        <w:rPr/>
      </w:pPr>
      <w:r>
        <w:rPr/>
      </w:r>
    </w:p>
    <w:p>
      <w:pPr>
        <w:pStyle w:val="Normal"/>
        <w:ind w:firstLine="720" w:end="0"/>
        <w:rPr/>
      </w:pPr>
      <w:r>
        <w:rPr/>
        <w:t>E.g,, AB 970, SB5X [CEC demand reduction programs]</w:t>
      </w:r>
    </w:p>
    <w:p>
      <w:pPr>
        <w:pStyle w:val="Normal"/>
        <w:rPr/>
      </w:pPr>
      <w:r>
        <w:rPr/>
      </w:r>
    </w:p>
    <w:p>
      <w:pPr>
        <w:pStyle w:val="Normal"/>
        <w:rPr/>
      </w:pPr>
      <w:r>
        <w:rPr/>
        <w:t>3. ENERGY EFFICIENCY STANDARDS:</w:t>
      </w:r>
    </w:p>
    <w:p>
      <w:pPr>
        <w:pStyle w:val="Normal"/>
        <w:rPr/>
      </w:pPr>
      <w:r>
        <w:rPr/>
      </w:r>
    </w:p>
    <w:p>
      <w:pPr>
        <w:pStyle w:val="Normal"/>
        <w:ind w:firstLine="720" w:end="0"/>
        <w:rPr/>
      </w:pPr>
      <w:r>
        <w:rPr/>
        <w:t>Summarize Energy Commission upgrades of building &amp; equipment stds in 2001.</w:t>
      </w:r>
    </w:p>
    <w:p>
      <w:pPr>
        <w:pStyle w:val="Normal"/>
        <w:rPr/>
      </w:pPr>
      <w:r>
        <w:rPr/>
      </w:r>
    </w:p>
    <w:p>
      <w:pPr>
        <w:pStyle w:val="Normal"/>
        <w:rPr/>
      </w:pPr>
      <w:r>
        <w:rPr/>
        <w:t>4. LOW-INCOME SERVICES</w:t>
      </w:r>
    </w:p>
    <w:p>
      <w:pPr>
        <w:pStyle w:val="Normal"/>
        <w:rPr/>
      </w:pPr>
      <w:r>
        <w:rPr/>
      </w:r>
    </w:p>
    <w:p>
      <w:pPr>
        <w:pStyle w:val="Normal"/>
        <w:rPr/>
      </w:pPr>
      <w:r>
        <w:rPr/>
        <w:tab/>
        <w:t>Explain briefly how low-income customers have been spared recent electricity rate increases and offered significant expansion of targeted energy efficiency services.</w:t>
      </w:r>
    </w:p>
    <w:p>
      <w:pPr>
        <w:pStyle w:val="Normal"/>
        <w:ind w:firstLine="720" w:end="0"/>
        <w:rPr/>
      </w:pPr>
      <w:r>
        <w:rPr/>
      </w:r>
    </w:p>
    <w:p>
      <w:pPr>
        <w:pStyle w:val="Normal"/>
        <w:ind w:firstLine="720" w:end="0"/>
        <w:rPr/>
      </w:pPr>
      <w:r>
        <w:rPr/>
      </w:r>
    </w:p>
    <w:p>
      <w:pPr>
        <w:pStyle w:val="Normal"/>
        <w:rPr/>
      </w:pPr>
      <w:r>
        <w:rPr/>
      </w:r>
    </w:p>
    <w:p>
      <w:pPr>
        <w:pStyle w:val="Heading1"/>
        <w:ind w:hanging="0" w:start="0"/>
        <w:rPr/>
      </w:pPr>
      <w:r>
        <w:rPr/>
        <w:t xml:space="preserve">III. Silicon Valley Responds:  Case Studies in Productive Demand Reduction </w:t>
      </w:r>
    </w:p>
    <w:p>
      <w:pPr>
        <w:pStyle w:val="Normal"/>
        <w:rPr/>
      </w:pPr>
      <w:r>
        <w:rPr/>
      </w:r>
    </w:p>
    <w:p>
      <w:pPr>
        <w:pStyle w:val="Normal"/>
        <w:rPr/>
      </w:pPr>
      <w:r>
        <w:rPr/>
        <w:tab/>
        <w:t xml:space="preserve">THESIS:  California’s technology leadership is a crucial part of the solution to an overstressed electricity grid, in terms of both its own demand reduction efforts and the contribution of its products. </w:t>
      </w:r>
    </w:p>
    <w:p>
      <w:pPr>
        <w:pStyle w:val="Normal"/>
        <w:rPr/>
      </w:pPr>
      <w:r>
        <w:rPr/>
      </w:r>
    </w:p>
    <w:p>
      <w:pPr>
        <w:pStyle w:val="Normal"/>
        <w:rPr/>
      </w:pPr>
      <w:r>
        <w:rPr/>
        <w:t>1. Hewlett Packard</w:t>
      </w:r>
    </w:p>
    <w:p>
      <w:pPr>
        <w:pStyle w:val="Normal"/>
        <w:rPr/>
      </w:pPr>
      <w:r>
        <w:rPr/>
      </w:r>
    </w:p>
    <w:p>
      <w:pPr>
        <w:pStyle w:val="Normal"/>
        <w:rPr/>
      </w:pPr>
      <w:r>
        <w:rPr/>
        <w:t>2. Compaq</w:t>
      </w:r>
    </w:p>
    <w:p>
      <w:pPr>
        <w:pStyle w:val="Normal"/>
        <w:rPr/>
      </w:pPr>
      <w:r>
        <w:rPr/>
      </w:r>
    </w:p>
    <w:p>
      <w:pPr>
        <w:pStyle w:val="Normal"/>
        <w:rPr/>
      </w:pPr>
      <w:r>
        <w:rPr/>
        <w:t>3. Roche</w:t>
      </w:r>
    </w:p>
    <w:p>
      <w:pPr>
        <w:pStyle w:val="Normal"/>
        <w:rPr/>
      </w:pPr>
      <w:r>
        <w:rPr/>
      </w:r>
    </w:p>
    <w:p>
      <w:pPr>
        <w:pStyle w:val="Normal"/>
        <w:rPr/>
      </w:pPr>
      <w:r>
        <w:rPr/>
        <w:tab/>
        <w:t xml:space="preserve">More broadly:  Silicon Valley technology should continue to accelerate statewide, national and international trends toward improved efficiency and demand reduction, by promoting reductions in electricity intensity.  And while the digital economy urgently needs reliable electricity services, it does not require or imply large and sustained systemwide increases in electricity consumption. </w:t>
      </w:r>
    </w:p>
    <w:p>
      <w:pPr>
        <w:pStyle w:val="Normal"/>
        <w:rPr/>
      </w:pPr>
      <w:r>
        <w:rPr/>
      </w:r>
    </w:p>
    <w:p>
      <w:pPr>
        <w:pStyle w:val="Normal"/>
        <w:rPr/>
      </w:pPr>
      <w:r>
        <w:rPr/>
      </w:r>
    </w:p>
    <w:p>
      <w:pPr>
        <w:pStyle w:val="Normal"/>
        <w:rPr/>
      </w:pPr>
      <w:r>
        <w:rPr/>
      </w:r>
    </w:p>
    <w:p>
      <w:pPr>
        <w:pStyle w:val="Normal"/>
        <w:rPr/>
      </w:pPr>
      <w:r>
        <w:rPr/>
      </w:r>
    </w:p>
    <w:p>
      <w:pPr>
        <w:pStyle w:val="Normal"/>
        <w:rPr/>
      </w:pPr>
      <w:r>
        <w:rPr/>
        <w:t>REPORT APPENDIX:  TABLE SUMMARIZING CALIFORNIA’S DEMAND REDUCTION INITIATIVES, 2000-2001</w:t>
      </w:r>
    </w:p>
    <w:p>
      <w:pPr>
        <w:pStyle w:val="Normal"/>
        <w:rPr/>
      </w:pPr>
      <w:r>
        <w:rPr/>
      </w:r>
    </w:p>
    <w:p>
      <w:pPr>
        <w:pStyle w:val="Normal"/>
        <w:rPr/>
      </w:pPr>
      <w:r>
        <w:rPr/>
        <w:t>Others???</w:t>
      </w:r>
    </w:p>
    <w:p>
      <w:pPr>
        <w:pStyle w:val="Normal"/>
        <w:rPr/>
      </w:pPr>
      <w:r>
        <w:rPr/>
      </w:r>
    </w:p>
    <w:p>
      <w:pPr>
        <w:pStyle w:val="Normal"/>
        <w:rPr/>
      </w:pPr>
      <w:r>
        <w:rPr/>
      </w:r>
    </w:p>
    <w:p>
      <w:pPr>
        <w:pStyle w:val="Normal"/>
        <w:rPr/>
      </w:pPr>
      <w:r>
        <w:rPr/>
      </w:r>
    </w:p>
    <w:p>
      <w:pPr>
        <w:pStyle w:val="Normal"/>
        <w:rPr>
          <w:b/>
          <w:bCs/>
        </w:rPr>
      </w:pPr>
      <w:r>
        <w:rPr>
          <w:b/>
          <w:bCs/>
        </w:rPr>
      </w:r>
    </w:p>
    <w:p>
      <w:pPr>
        <w:pStyle w:val="Normal"/>
        <w:rPr>
          <w:b/>
          <w:bCs/>
        </w:rPr>
      </w:pPr>
      <w:r>
        <w:rPr>
          <w:b/>
          <w:bCs/>
        </w:rPr>
      </w:r>
    </w:p>
    <w:sectPr>
      <w:footerReference w:type="default" r:id="rId3"/>
      <w:footerReference w:type="first" r:id="rId4"/>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Source: EIA: State Energy Data Report 1999 at: http://www.eia.doe.gov/emeu/sedr/contents.html.</w:t>
      </w:r>
    </w:p>
  </w:footnote>
  <w:footnote w:id="3">
    <w:p>
      <w:pPr>
        <w:pStyle w:val="FootnoteText"/>
        <w:rPr/>
      </w:pPr>
      <w:r>
        <w:rPr>
          <w:rStyle w:val="FootnoteCharacters"/>
        </w:rPr>
        <w:footnoteRef/>
      </w:r>
      <w:r>
        <w:rPr/>
        <w:t xml:space="preserve"> </w:t>
      </w:r>
      <w:r>
        <w:rPr/>
        <w:t xml:space="preserve">See California Energy Commission,  </w:t>
      </w:r>
      <w:r>
        <w:rPr>
          <w:u w:val="single"/>
        </w:rPr>
        <w:t>The Energy Efficiency Public Good Charge Report</w:t>
      </w:r>
      <w:r>
        <w:rPr/>
        <w:t>, December 1999, at 12 (savings estimates cover 1975-1998).</w:t>
      </w:r>
    </w:p>
  </w:footnote>
  <w:footnote w:id="4">
    <w:p>
      <w:pPr>
        <w:pStyle w:val="FootnoteText"/>
        <w:ind w:hanging="90" w:start="90" w:end="0"/>
        <w:rPr/>
      </w:pPr>
      <w:r>
        <w:rPr>
          <w:rStyle w:val="FootnoteCharacters"/>
        </w:rPr>
        <w:footnoteRef/>
      </w:r>
      <w:r>
        <w:rPr/>
        <w:t xml:space="preserve"> </w:t>
      </w:r>
      <w:r>
        <w:rPr/>
        <w:t>About 7% of the total increase reflects the addition of an extra day of consumption due to leap year. The Energy Commission’s estimate for electricity consumption in 2000 is 264,429 GWh. See http://www.energy.ca.gov/electricity/consumption_by_sector.html</w:t>
      </w:r>
    </w:p>
  </w:footnote>
  <w:footnote w:id="5">
    <w:p>
      <w:pPr>
        <w:pStyle w:val="FootnoteText"/>
        <w:rPr/>
      </w:pPr>
      <w:r>
        <w:rPr>
          <w:rStyle w:val="FootnoteCharacters"/>
        </w:rPr>
        <w:footnoteRef/>
      </w:r>
      <w:r>
        <w:rPr/>
        <w:t xml:space="preserve"> </w:t>
      </w:r>
      <w:r>
        <w:rPr/>
        <w:t xml:space="preserve">A.B. Lovins, </w:t>
      </w:r>
      <w:r>
        <w:rPr>
          <w:u w:val="single"/>
        </w:rPr>
        <w:t>What Happened in California:  Facts, Myths and Issues</w:t>
      </w:r>
      <w:r>
        <w:rPr/>
        <w:t xml:space="preserve"> (June 2001),  at 3.</w:t>
      </w:r>
    </w:p>
  </w:footnote>
  <w:footnote w:id="6">
    <w:p>
      <w:pPr>
        <w:pStyle w:val="FootnoteText"/>
        <w:rPr/>
      </w:pPr>
      <w:r>
        <w:rPr>
          <w:rStyle w:val="FootnoteCharacters"/>
        </w:rPr>
        <w:footnoteRef/>
      </w:r>
      <w:r>
        <w:rPr/>
        <w:t xml:space="preserve"> </w:t>
      </w:r>
      <w:r>
        <w:rPr>
          <w:szCs w:val="24"/>
        </w:rPr>
        <w:t xml:space="preserve">Bay Area Economic Forum, THE BAY AREA - A KNOWLEDGE ECONOMY NEEDS POWER (April 2001), at 20.  </w:t>
      </w:r>
    </w:p>
  </w:footnote>
  <w:footnote w:id="7">
    <w:p>
      <w:pPr>
        <w:pStyle w:val="Normal"/>
        <w:rPr/>
      </w:pPr>
      <w:r>
        <w:rPr>
          <w:rStyle w:val="FootnoteCharacters"/>
        </w:rPr>
        <w:footnoteRef/>
      </w:r>
      <w:r>
        <w:rPr>
          <w:sz w:val="20"/>
        </w:rPr>
        <w:t xml:space="preserve"> </w:t>
      </w:r>
      <w:r>
        <w:rPr>
          <w:sz w:val="20"/>
        </w:rPr>
        <w:t xml:space="preserve">See California Energy Commission, </w:t>
      </w:r>
      <w:r>
        <w:rPr>
          <w:sz w:val="20"/>
          <w:u w:val="single"/>
        </w:rPr>
        <w:t>Total Conservation in the ISO Area</w:t>
      </w:r>
      <w:r>
        <w:rPr>
          <w:sz w:val="20"/>
        </w:rPr>
        <w:t xml:space="preserve"> (6/1/01) (continuously updated at the CEC website, </w:t>
      </w:r>
      <w:r>
        <w:rPr>
          <w:rStyle w:val="Hyperlink"/>
          <w:sz w:val="20"/>
        </w:rPr>
        <w:t>www.energy.ca</w:t>
      </w:r>
      <w:r>
        <w:rPr>
          <w:sz w:val="20"/>
        </w:rPr>
        <w:t>.gov).   When loads are adjusted for economic growth, the reductions are larger still.</w:t>
      </w:r>
    </w:p>
    <w:p>
      <w:pPr>
        <w:pStyle w:val="Normal"/>
        <w:rPr>
          <w:sz w:val="20"/>
        </w:rPr>
      </w:pPr>
      <w:r>
        <w:rPr>
          <w:sz w:val="20"/>
        </w:rPr>
      </w:r>
    </w:p>
    <w:p>
      <w:pPr>
        <w:pStyle w:val="Normal"/>
        <w:rPr>
          <w:sz w:val="20"/>
        </w:rPr>
      </w:pPr>
      <w:r>
        <w:rPr>
          <w:sz w:val="20"/>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overflowPunct w:val="true"/>
      <w:autoSpaceDE w:val="true"/>
      <w:jc w:val="center"/>
      <w:textAlignment w:val="auto"/>
    </w:pPr>
    <w:rPr>
      <w:b/>
    </w:rPr>
  </w:style>
  <w:style w:type="paragraph" w:styleId="BodyText">
    <w:name w:val="Body Text"/>
    <w:basedOn w:val="Normal"/>
    <w:pPr>
      <w:overflowPunct w:val="true"/>
      <w:autoSpaceDE w:val="true"/>
      <w:textAlignment w:val="auto"/>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overflowPunct w:val="true"/>
      <w:autoSpaceDE w:val="true"/>
      <w:textAlignment w:val="auto"/>
    </w:pPr>
    <w:rPr>
      <w:sz w:val="20"/>
    </w:rPr>
  </w:style>
  <w:style w:type="paragraph" w:styleId="BodyText2">
    <w:name w:val="Body Text 2"/>
    <w:basedOn w:val="Normal"/>
    <w:qFormat/>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cavanagh@nrdc.org"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2001-07-13T14:48:00Z</dcterms:created>
  <dc:creator>Valued Sony Customer</dc:creator>
  <dc:description/>
  <dc:language>en-CA</dc:language>
  <cp:lastModifiedBy>Administrator</cp:lastModifiedBy>
  <dcterms:modified xsi:type="dcterms:W3CDTF">2001-07-13T14:48:00Z</dcterms:modified>
  <cp:revision>2</cp:revision>
  <dc:subject/>
  <dc:title>PROPOSED OUTLINE FOR JOINT REPORT </dc:title>
</cp:coreProperties>
</file>