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 xml:space="preserve">ENERGY EFFICIENCY LEADERSHIP IN A CRISIS:  </w:t>
      </w:r>
    </w:p>
    <w:p>
      <w:pPr>
        <w:pStyle w:val="Heading2"/>
        <w:ind w:hanging="0" w:start="0"/>
        <w:rPr/>
      </w:pPr>
      <w:r>
        <w:rPr/>
        <w:t>HOW CALIFORNIA IS WINNING</w:t>
      </w:r>
    </w:p>
    <w:p>
      <w:pPr>
        <w:pStyle w:val="Normal"/>
        <w:rPr/>
      </w:pPr>
      <w:r>
        <w:rPr/>
      </w:r>
    </w:p>
    <w:p>
      <w:pPr>
        <w:pStyle w:val="Normal"/>
        <w:jc w:val="center"/>
        <w:rPr/>
      </w:pPr>
      <w:r>
        <w:rPr/>
        <w:t>[7/25/01 REVIEW DRAFT:  DO NOT QUOTE OR CITE]</w:t>
      </w:r>
    </w:p>
    <w:p>
      <w:pPr>
        <w:pStyle w:val="Normal"/>
        <w:jc w:val="center"/>
        <w:rPr/>
      </w:pPr>
      <w:r>
        <w:rPr/>
      </w:r>
    </w:p>
    <w:p>
      <w:pPr>
        <w:pStyle w:val="Normal"/>
        <w:jc w:val="center"/>
        <w:rPr/>
      </w:pPr>
      <w:r>
        <w:rPr/>
        <w:t>By the Natural Resources Defense Council and the Silicon Valley Manufacturing Group</w:t>
      </w:r>
    </w:p>
    <w:p>
      <w:pPr>
        <w:pStyle w:val="Normal"/>
        <w:jc w:val="center"/>
        <w:rPr/>
      </w:pPr>
      <w:r>
        <w:rPr/>
      </w:r>
    </w:p>
    <w:p>
      <w:pPr>
        <w:pStyle w:val="Normal"/>
        <w:jc w:val="center"/>
        <w:rPr/>
      </w:pPr>
      <w:r>
        <w:rPr/>
        <w:t>Release Date:  August 24, 2001</w:t>
      </w:r>
    </w:p>
    <w:p>
      <w:pPr>
        <w:pStyle w:val="Normal"/>
        <w:jc w:val="center"/>
        <w:rPr/>
      </w:pPr>
      <w:r>
        <w:rPr/>
      </w:r>
    </w:p>
    <w:p>
      <w:pPr>
        <w:pStyle w:val="Normal"/>
        <w:jc w:val="center"/>
        <w:rPr/>
      </w:pPr>
      <w:r>
        <w:rPr/>
      </w:r>
    </w:p>
    <w:p>
      <w:pPr>
        <w:pStyle w:val="Normal"/>
        <w:jc w:val="center"/>
        <w:rPr/>
      </w:pPr>
      <w:r>
        <w:rPr/>
      </w:r>
    </w:p>
    <w:p>
      <w:pPr>
        <w:pStyle w:val="Normal"/>
        <w:rPr/>
      </w:pPr>
      <w:r>
        <w:rPr/>
      </w:r>
    </w:p>
    <w:p>
      <w:pPr>
        <w:pStyle w:val="Heading1"/>
        <w:ind w:hanging="0" w:start="0"/>
        <w:rPr/>
      </w:pPr>
      <w:r>
        <w:rPr/>
        <w:t>REVISED TIMELINE FOR COMPLETING REPORT [approx. length 15-20 pages]</w:t>
      </w:r>
    </w:p>
    <w:p>
      <w:pPr>
        <w:pStyle w:val="Normal"/>
        <w:rPr/>
      </w:pPr>
      <w:r>
        <w:rPr/>
      </w:r>
    </w:p>
    <w:p>
      <w:pPr>
        <w:pStyle w:val="Normal"/>
        <w:numPr>
          <w:ilvl w:val="0"/>
          <w:numId w:val="2"/>
        </w:numPr>
        <w:tabs>
          <w:tab w:val="clear" w:pos="720"/>
          <w:tab w:val="left" w:pos="0" w:leader="none"/>
          <w:tab w:val="left" w:pos="360" w:leader="none"/>
        </w:tabs>
        <w:ind w:hanging="360" w:start="1080" w:end="0"/>
        <w:rPr/>
      </w:pPr>
      <w:r>
        <w:rPr/>
        <w:t>Finalize proposed outline:  Friday 13 July [DONE]</w:t>
      </w:r>
    </w:p>
    <w:p>
      <w:pPr>
        <w:pStyle w:val="Normal"/>
        <w:rPr/>
      </w:pPr>
      <w:r>
        <w:rPr/>
      </w:r>
    </w:p>
    <w:p>
      <w:pPr>
        <w:pStyle w:val="Normal"/>
        <w:ind w:start="360" w:end="0"/>
        <w:rPr/>
      </w:pPr>
      <w:r>
        <w:rPr/>
        <w:t>2.  Initial Hummel &amp; Bradley materials to Cavanagh: Wednesday 25 July [IN PART]</w:t>
      </w:r>
    </w:p>
    <w:p>
      <w:pPr>
        <w:pStyle w:val="Normal"/>
        <w:rPr/>
      </w:pPr>
      <w:r>
        <w:rPr/>
      </w:r>
    </w:p>
    <w:p>
      <w:pPr>
        <w:pStyle w:val="Normal"/>
        <w:numPr>
          <w:ilvl w:val="0"/>
          <w:numId w:val="3"/>
        </w:numPr>
        <w:tabs>
          <w:tab w:val="clear" w:pos="720"/>
          <w:tab w:val="left" w:pos="0" w:leader="none"/>
          <w:tab w:val="left" w:pos="360" w:leader="none"/>
        </w:tabs>
        <w:ind w:hanging="720" w:start="1080" w:end="0"/>
        <w:rPr/>
      </w:pPr>
      <w:r>
        <w:rPr/>
        <w:t>Circulate initial draft:  Thursday 26 July [DONE]</w:t>
      </w:r>
    </w:p>
    <w:p>
      <w:pPr>
        <w:pStyle w:val="Normal"/>
        <w:numPr>
          <w:ilvl w:val="0"/>
          <w:numId w:val="0"/>
        </w:numPr>
        <w:ind w:hanging="0" w:start="0"/>
        <w:rPr/>
      </w:pPr>
      <w:r>
        <w:rPr/>
      </w:r>
    </w:p>
    <w:p>
      <w:pPr>
        <w:pStyle w:val="Normal"/>
        <w:numPr>
          <w:ilvl w:val="0"/>
          <w:numId w:val="3"/>
        </w:numPr>
        <w:tabs>
          <w:tab w:val="clear" w:pos="720"/>
          <w:tab w:val="left" w:pos="0" w:leader="none"/>
          <w:tab w:val="left" w:pos="360" w:leader="none"/>
        </w:tabs>
        <w:ind w:hanging="720" w:start="1080" w:end="0"/>
        <w:rPr/>
      </w:pPr>
      <w:r>
        <w:rPr/>
        <w:t>Comments on initial draft: Friday 3 August</w:t>
      </w:r>
    </w:p>
    <w:p>
      <w:pPr>
        <w:pStyle w:val="Normal"/>
        <w:numPr>
          <w:ilvl w:val="0"/>
          <w:numId w:val="0"/>
        </w:numPr>
        <w:ind w:hanging="0" w:start="0"/>
        <w:rPr/>
      </w:pPr>
      <w:r>
        <w:rPr/>
      </w:r>
    </w:p>
    <w:p>
      <w:pPr>
        <w:pStyle w:val="Normal"/>
        <w:numPr>
          <w:ilvl w:val="0"/>
          <w:numId w:val="3"/>
        </w:numPr>
        <w:tabs>
          <w:tab w:val="clear" w:pos="720"/>
          <w:tab w:val="left" w:pos="0" w:leader="none"/>
          <w:tab w:val="left" w:pos="360" w:leader="none"/>
        </w:tabs>
        <w:ind w:hanging="720" w:start="1080" w:end="0"/>
        <w:rPr/>
      </w:pPr>
      <w:r>
        <w:rPr/>
        <w:t>Circulate final draft:  Monday 13 August</w:t>
      </w:r>
    </w:p>
    <w:p>
      <w:pPr>
        <w:pStyle w:val="Normal"/>
        <w:numPr>
          <w:ilvl w:val="0"/>
          <w:numId w:val="0"/>
        </w:numPr>
        <w:ind w:hanging="0" w:start="0"/>
        <w:rPr/>
      </w:pPr>
      <w:r>
        <w:rPr/>
      </w:r>
    </w:p>
    <w:p>
      <w:pPr>
        <w:pStyle w:val="Normal"/>
        <w:numPr>
          <w:ilvl w:val="0"/>
          <w:numId w:val="3"/>
        </w:numPr>
        <w:tabs>
          <w:tab w:val="clear" w:pos="720"/>
          <w:tab w:val="left" w:pos="0" w:leader="none"/>
          <w:tab w:val="left" w:pos="360" w:leader="none"/>
        </w:tabs>
        <w:ind w:hanging="720" w:start="1080" w:end="0"/>
        <w:rPr/>
      </w:pPr>
      <w:r>
        <w:rPr/>
        <w:t xml:space="preserve">Final comments:  Wednesday 15 August </w:t>
      </w:r>
    </w:p>
    <w:p>
      <w:pPr>
        <w:pStyle w:val="Normal"/>
        <w:numPr>
          <w:ilvl w:val="0"/>
          <w:numId w:val="0"/>
        </w:numPr>
        <w:ind w:hanging="0" w:start="0"/>
        <w:rPr/>
      </w:pPr>
      <w:r>
        <w:rPr/>
      </w:r>
    </w:p>
    <w:p>
      <w:pPr>
        <w:pStyle w:val="Normal"/>
        <w:numPr>
          <w:ilvl w:val="0"/>
          <w:numId w:val="3"/>
        </w:numPr>
        <w:tabs>
          <w:tab w:val="clear" w:pos="720"/>
          <w:tab w:val="left" w:pos="0" w:leader="none"/>
          <w:tab w:val="left" w:pos="360" w:leader="none"/>
        </w:tabs>
        <w:ind w:hanging="360" w:start="1080" w:end="0"/>
        <w:rPr/>
      </w:pPr>
      <w:r>
        <w:rPr/>
        <w:t>Document into production:  Friday 17  August</w:t>
      </w:r>
    </w:p>
    <w:p>
      <w:pPr>
        <w:pStyle w:val="Normal"/>
        <w:rPr/>
      </w:pPr>
      <w:r>
        <w:rPr/>
      </w:r>
    </w:p>
    <w:p>
      <w:pPr>
        <w:pStyle w:val="Normal"/>
        <w:ind w:start="360" w:end="0"/>
        <w:rPr/>
      </w:pPr>
      <w:r>
        <w:rPr/>
        <w:t>8.  Document released to press &amp; public:  Friday 24 August</w:t>
      </w:r>
    </w:p>
    <w:p>
      <w:pPr>
        <w:pStyle w:val="Normal"/>
        <w:rPr/>
      </w:pPr>
      <w:r>
        <w:rPr/>
      </w:r>
    </w:p>
    <w:p>
      <w:pPr>
        <w:pStyle w:val="Normal"/>
        <w:rPr/>
      </w:pPr>
      <w:r>
        <w:rPr/>
        <w:t>AUTHORSHIP RESPONSIBILITY:  Cavanagh is responsible for editing the text and incorporating comments; he will rely extensively on Hummel for concise descriptions of the principal programs covered by section II and on Bradley/Hummel for the case study materials that are critical for section III.  Hummel will prepare the Appendix based on materials already developed for the partnership, and provide compelling graphics based on the data below.  Bradley and colleagues will review and approve all sections.  NRDC will prepare copies of the report for distribution at the meeting and over the websites of the two organizations.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bCs/>
        </w:rPr>
      </w:pPr>
      <w:r>
        <w:rPr>
          <w:b/>
          <w:bCs/>
        </w:rPr>
        <w:t xml:space="preserve">ENERGY EFFICIENCY LEADERSHIP IN A CRISIS:  </w:t>
      </w:r>
    </w:p>
    <w:p>
      <w:pPr>
        <w:pStyle w:val="Heading2"/>
        <w:ind w:hanging="0" w:start="0"/>
        <w:rPr/>
      </w:pPr>
      <w:r>
        <w:rPr/>
        <w:t>HOW CALIFORNIA IS WINNING</w:t>
      </w:r>
    </w:p>
    <w:p>
      <w:pPr>
        <w:pStyle w:val="Normal"/>
        <w:rPr/>
      </w:pPr>
      <w:r>
        <w:rPr/>
      </w:r>
    </w:p>
    <w:p>
      <w:pPr>
        <w:pStyle w:val="Normal"/>
        <w:jc w:val="center"/>
        <w:rPr/>
      </w:pPr>
      <w:r>
        <w:rPr/>
        <w:t>[7/25/01 REVIEW DRAFT: DO NOT QUOTE OR CITE]</w:t>
      </w:r>
    </w:p>
    <w:p>
      <w:pPr>
        <w:pStyle w:val="Normal"/>
        <w:jc w:val="center"/>
        <w:rPr/>
      </w:pPr>
      <w:r>
        <w:rPr/>
      </w:r>
    </w:p>
    <w:p>
      <w:pPr>
        <w:pStyle w:val="Normal"/>
        <w:jc w:val="center"/>
        <w:rPr/>
      </w:pPr>
      <w:r>
        <w:rPr/>
        <w:t>By the Natural Resources Defense Council and the Silicon Valley Manufacturing Group</w:t>
      </w:r>
    </w:p>
    <w:p>
      <w:pPr>
        <w:pStyle w:val="Normal"/>
        <w:jc w:val="center"/>
        <w:rPr/>
      </w:pPr>
      <w:r>
        <w:rPr/>
        <w:t>Release Date:  August 24, 2001</w:t>
      </w:r>
    </w:p>
    <w:p>
      <w:pPr>
        <w:pStyle w:val="Normal"/>
        <w:jc w:val="center"/>
        <w:rPr/>
      </w:pPr>
      <w:r>
        <w:rPr/>
      </w:r>
    </w:p>
    <w:p>
      <w:pPr>
        <w:pStyle w:val="Normal"/>
        <w:rPr/>
      </w:pPr>
      <w:r>
        <w:rPr/>
      </w:r>
    </w:p>
    <w:p>
      <w:pPr>
        <w:pStyle w:val="Normal"/>
        <w:jc w:val="center"/>
        <w:rPr>
          <w:b/>
          <w:bCs/>
        </w:rPr>
      </w:pPr>
      <w:r>
        <w:rPr>
          <w:b/>
          <w:bCs/>
        </w:rPr>
      </w:r>
    </w:p>
    <w:p>
      <w:pPr>
        <w:pStyle w:val="Heading2"/>
        <w:ind w:hanging="0" w:start="0"/>
        <w:rPr/>
      </w:pPr>
      <w:r>
        <w:rPr/>
        <w:t>INTRODUCTION</w:t>
      </w:r>
    </w:p>
    <w:p>
      <w:pPr>
        <w:pStyle w:val="Normal"/>
        <w:rPr>
          <w:b/>
          <w:bCs/>
        </w:rPr>
      </w:pPr>
      <w:r>
        <w:rPr>
          <w:b/>
          <w:bCs/>
        </w:rPr>
      </w:r>
    </w:p>
    <w:p>
      <w:pPr>
        <w:pStyle w:val="Normal"/>
        <w:ind w:firstLine="720" w:end="0"/>
        <w:rPr/>
      </w:pPr>
      <w:r>
        <w:rPr/>
        <w:t>All elements of California society and government have contributed to extensive electricity demand reductions throughout the first half of 2001, substantially reducing the economic and environmental damage associated with the state’s worst postwar energy crisis.   By June 2001, those reductions had reached almost 4,800 Megawatts, the equivalent of ten giant power plants; for the three months ending July 1, statewide electricity use was down by about eight percent, compared to a year earlier.  This is the main reason why electricity reliability and pricing prospects now look substantially better than most had expected.  The members of the Silicon Valley Manufacturing Group have been a crucial part of the solution to an overstressed electricity grid, both in terms of conservation at their own facilities and the contribution of their products to inexpensive demand reduction.  Our report highlights policies and actions that have contributed to a remarkable collective achievement, while cautioning against complacency:  much remains to be done in order to lock in the gains and ensure that California never again approaches this precipice.  Declarations of victory are premature, but thanks to citizens and businesses throughout the state, it is fair to conclude that we are winning.</w:t>
      </w:r>
    </w:p>
    <w:p>
      <w:pPr>
        <w:pStyle w:val="Normal"/>
        <w:ind w:firstLine="720" w:end="0"/>
        <w:rPr/>
      </w:pPr>
      <w:r>
        <w:rPr/>
      </w:r>
    </w:p>
    <w:p>
      <w:pPr>
        <w:pStyle w:val="Heading3"/>
        <w:rPr/>
      </w:pPr>
      <w:r>
        <w:rPr/>
        <w:t>I. THE CRISIS UNFOLDS</w:t>
      </w:r>
    </w:p>
    <w:p>
      <w:pPr>
        <w:pStyle w:val="Normal"/>
        <w:ind w:firstLine="720" w:end="0"/>
        <w:rPr/>
      </w:pPr>
      <w:r>
        <w:rPr/>
      </w:r>
    </w:p>
    <w:p>
      <w:pPr>
        <w:pStyle w:val="Normal"/>
        <w:ind w:firstLine="360" w:end="0"/>
        <w:rPr/>
      </w:pPr>
      <w:r>
        <w:rPr/>
        <w:t>California launched a new spot market in electricity commodities on March 31, 1998, as part of a restructured electric industry.  After more than two years of reassuringly low prices and seemingly robust competition, calamity struck:</w:t>
      </w:r>
    </w:p>
    <w:p>
      <w:pPr>
        <w:pStyle w:val="Normal"/>
        <w:rPr/>
      </w:pPr>
      <w:r>
        <w:rPr/>
      </w:r>
    </w:p>
    <w:p>
      <w:pPr>
        <w:pStyle w:val="Normal"/>
        <w:numPr>
          <w:ilvl w:val="0"/>
          <w:numId w:val="4"/>
        </w:numPr>
        <w:tabs>
          <w:tab w:val="clear" w:pos="720"/>
          <w:tab w:val="left" w:pos="0" w:leader="none"/>
        </w:tabs>
        <w:ind w:hanging="720" w:start="720" w:end="0"/>
        <w:rPr/>
      </w:pPr>
      <w:r>
        <w:rPr/>
        <w:t>Wholesale electricity prices that previously had ranged between two and three cents per kilowatt-hour soared to at least fifteen cents, on average, from June through August of 2000.  That average price then doubled again through the December 2000 -January 2001 period, even though demand levels were far below their summer peaks, and at one point the price reached $1.50 per kilowatt-hour.</w:t>
      </w:r>
      <w:r>
        <w:rPr>
          <w:rStyle w:val="FootnoteCharacters"/>
          <w:rStyle w:val="FootnoteReference"/>
        </w:rPr>
        <w:footnoteReference w:id="2"/>
      </w:r>
      <w:r>
        <w:rPr/>
        <w:br/>
      </w:r>
    </w:p>
    <w:p>
      <w:pPr>
        <w:pStyle w:val="Normal"/>
        <w:numPr>
          <w:ilvl w:val="0"/>
          <w:numId w:val="4"/>
        </w:numPr>
        <w:tabs>
          <w:tab w:val="clear" w:pos="720"/>
          <w:tab w:val="left" w:pos="0" w:leader="none"/>
        </w:tabs>
        <w:ind w:hanging="720" w:start="720" w:end="0"/>
        <w:rPr/>
      </w:pPr>
      <w:r>
        <w:rPr/>
        <w:t>Natural gas prices, typically at $2 to $3 per million BTUs, climbed to nearly $10 per million BTUs nationally in January 2001, with prices spiking above $50 in Southern California. As of April 2001, natural gas options contracts on the New York Mercantile Exchange were selling at levels above $5 per million BTUs for every month through March of the following year.</w:t>
      </w:r>
      <w:r>
        <w:rPr>
          <w:rStyle w:val="FootnoteCharacters"/>
          <w:rStyle w:val="FootnoteReference"/>
        </w:rPr>
        <w:footnoteReference w:id="3"/>
      </w:r>
      <w:r>
        <w:rPr/>
        <w:br/>
      </w:r>
    </w:p>
    <w:p>
      <w:pPr>
        <w:pStyle w:val="BodyTextIndent2"/>
        <w:numPr>
          <w:ilvl w:val="0"/>
          <w:numId w:val="0"/>
        </w:numPr>
        <w:ind w:hanging="0" w:start="0"/>
        <w:rPr/>
      </w:pPr>
      <w:r>
        <w:rPr/>
        <w:t>Based on the gap between runaway wholesale electricity costs and state-frozen retail electricity rates, the West's two biggest electricity distribution companies – PG&amp;E and Southern California Edison -- recorded losses in excess of $12 billion from May 2000 to January 2001 on unreimbursed wholesale electricity purchases.  Consumer advocates countered that these losses had been offset in part by gains on power sales from generators still owned or controlled by the utilities. By any measure, however, the distribution companies were on the brink of insolvency by early 2001, and PG&amp;E filed for bankruptcy in early April.  At the same time, notices of supply emergencies became routine throughout the state, as operating reserves dropped below 5% for weeks on end during the winter and spring.  On six occasions between January 1, 2001 and May 8, the statewide Independent System Operator was compelled to impose rolling blackouts on portions of the California grid.  Soon after, the National Electric Reliability Council (NERC) issued a grim forecast:</w:t>
      </w:r>
    </w:p>
    <w:p>
      <w:pPr>
        <w:pStyle w:val="Normal"/>
        <w:numPr>
          <w:ilvl w:val="0"/>
          <w:numId w:val="0"/>
        </w:numPr>
        <w:ind w:hanging="0" w:start="0"/>
        <w:rPr/>
      </w:pPr>
      <w:r>
        <w:rPr/>
      </w:r>
    </w:p>
    <w:p>
      <w:pPr>
        <w:pStyle w:val="WW-BodyText2"/>
        <w:numPr>
          <w:ilvl w:val="0"/>
          <w:numId w:val="4"/>
        </w:numPr>
        <w:tabs>
          <w:tab w:val="clear" w:pos="720"/>
          <w:tab w:val="left" w:pos="0" w:leader="none"/>
        </w:tabs>
        <w:ind w:hanging="720" w:start="1080" w:end="0"/>
        <w:rPr/>
      </w:pPr>
      <w:r>
        <w:rPr/>
        <w:t>Under “most likely” summer 2001 conditions, California would “experience operating emergencies during not only the peak periods, but also during nonpeak periods;”</w:t>
      </w:r>
    </w:p>
    <w:p>
      <w:pPr>
        <w:pStyle w:val="WW-BodyText2"/>
        <w:numPr>
          <w:ilvl w:val="0"/>
          <w:numId w:val="0"/>
        </w:numPr>
        <w:ind w:hanging="0" w:start="0" w:end="0"/>
        <w:rPr/>
      </w:pPr>
      <w:r>
        <w:rPr/>
      </w:r>
    </w:p>
    <w:p>
      <w:pPr>
        <w:pStyle w:val="WW-BodyText2"/>
        <w:numPr>
          <w:ilvl w:val="0"/>
          <w:numId w:val="4"/>
        </w:numPr>
        <w:tabs>
          <w:tab w:val="clear" w:pos="720"/>
          <w:tab w:val="left" w:pos="0" w:leader="none"/>
        </w:tabs>
        <w:ind w:hanging="720" w:start="1080" w:end="0"/>
        <w:rPr/>
      </w:pPr>
      <w:r>
        <w:rPr/>
        <w:t>California “may experience peak deficiencies ranging from about 4,500 to 5,500 MW this summer” (equal to about 10 percent of the state’s peak needs); and</w:t>
      </w:r>
    </w:p>
    <w:p>
      <w:pPr>
        <w:pStyle w:val="Normal"/>
        <w:numPr>
          <w:ilvl w:val="0"/>
          <w:numId w:val="0"/>
        </w:numPr>
        <w:ind w:hanging="0" w:start="0"/>
        <w:rPr/>
      </w:pPr>
      <w:r>
        <w:rPr/>
      </w:r>
    </w:p>
    <w:p>
      <w:pPr>
        <w:pStyle w:val="Normal"/>
        <w:numPr>
          <w:ilvl w:val="0"/>
          <w:numId w:val="4"/>
        </w:numPr>
        <w:tabs>
          <w:tab w:val="clear" w:pos="720"/>
          <w:tab w:val="left" w:pos="0" w:leader="none"/>
        </w:tabs>
        <w:ind w:hanging="360" w:start="1080" w:end="0"/>
        <w:rPr/>
      </w:pPr>
      <w:r>
        <w:rPr/>
        <w:t>“</w:t>
      </w:r>
      <w:r>
        <w:rPr/>
        <w:t>NERC’s best estimate is that there will be about 260 hours” of rotating blackouts in the state during the summer, with an average interruption of about 2,150 MW” (equivalent to more than 2 million households each time).</w:t>
      </w:r>
      <w:r>
        <w:rPr>
          <w:rStyle w:val="FootnoteCharacters"/>
          <w:rStyle w:val="FootnoteReference"/>
        </w:rPr>
        <w:footnoteReference w:id="4"/>
      </w:r>
    </w:p>
    <w:p>
      <w:pPr>
        <w:pStyle w:val="Normal"/>
        <w:ind w:firstLine="60" w:end="0"/>
        <w:rPr/>
      </w:pPr>
      <w:r>
        <w:rPr/>
      </w:r>
    </w:p>
    <w:p>
      <w:pPr>
        <w:pStyle w:val="Normal"/>
        <w:ind w:firstLine="720" w:end="0"/>
        <w:rPr/>
      </w:pPr>
      <w:r>
        <w:rPr/>
        <w:t>No single factor explains this crisis. The upswing in natural-gas prices most prominently reflected a prolonged contraction in exploration and storage due to low commodity prices, coupled (in the Southwest) with reduced pipeline capacity as a result of a summer 2000 explosion. And much costlier natural gas in turn helped to drive up the operating cost of electric generation.  High electricity prices also reflected lower Northwest hydropower production due to poor rainfall and the generally overstressed state of the western power grid, which has suffered from a decade of reduced investment in energy efficiency, generating capacity and transmission upgrades.</w:t>
      </w:r>
      <w:r>
        <w:rPr>
          <w:rStyle w:val="FootnoteCharacters"/>
          <w:rStyle w:val="FootnoteReference"/>
        </w:rPr>
        <w:footnoteReference w:id="5"/>
      </w:r>
      <w:r>
        <w:rPr/>
        <w:t xml:space="preserve">  As if all that were not enough, investigations continue of alleged anti-competitive practices by many market participants.</w:t>
      </w:r>
      <w:r>
        <w:rPr>
          <w:rStyle w:val="FootnoteCharacters"/>
          <w:rStyle w:val="FootnoteReference"/>
        </w:rPr>
        <w:footnoteReference w:id="6"/>
      </w:r>
      <w:r>
        <w:rPr/>
        <w:t xml:space="preserve">  Our purpose here is not to assign blame, but to identify some extraordinarily productive efforts to restore reliable and affordable power to all Californians.</w:t>
      </w:r>
    </w:p>
    <w:p>
      <w:pPr>
        <w:pStyle w:val="Normal"/>
        <w:ind w:firstLine="720" w:end="0"/>
        <w:rPr/>
      </w:pPr>
      <w:r>
        <w:rPr/>
      </w:r>
    </w:p>
    <w:p>
      <w:pPr>
        <w:pStyle w:val="Heading3"/>
        <w:rPr/>
      </w:pPr>
      <w:r>
        <w:rPr/>
        <w:t xml:space="preserve"> </w:t>
      </w:r>
      <w:r>
        <w:rPr/>
        <w:t>II.  MANAGING DEMAND AND IMPROVING EFFICIENCY: CALIFORNIA’S RECORD</w:t>
      </w:r>
    </w:p>
    <w:p>
      <w:pPr>
        <w:pStyle w:val="Normal"/>
        <w:rPr/>
      </w:pPr>
      <w:r>
        <w:rPr/>
        <w:tab/>
      </w:r>
    </w:p>
    <w:p>
      <w:pPr>
        <w:pStyle w:val="Normal"/>
        <w:rPr/>
      </w:pPr>
      <w:r>
        <w:rPr/>
        <w:tab/>
        <w:t xml:space="preserve">California has a strong tradition of leadership in encouraging citizens and businesses to get more work out of less energy.  For more than two decades, the state has used a productive combination of targeted financial incentives and regularly upgraded efficiency standards, yielding steady reductions in the amount of electricity required to deliver both comfort and products.  </w:t>
      </w:r>
    </w:p>
    <w:p>
      <w:pPr>
        <w:pStyle w:val="Normal"/>
        <w:rPr/>
      </w:pPr>
      <w:r>
        <w:rPr/>
      </w:r>
    </w:p>
    <w:p>
      <w:pPr>
        <w:pStyle w:val="Normal"/>
        <w:rPr/>
      </w:pPr>
      <w:r>
        <w:rPr/>
        <w:tab/>
        <w:t>As a result, electricity consumption statewide grew only modestly during the decade of the 1990s.  The annual rate of increase from 1990-1999 was about one percent, matching the state’s population growth and lagging far behind the 2.8 percent average increase in the state’s economy.  Over the same period, electricity use for the nation as a whole grew by 2.2 percent per year, more than twice the one-percent annual growth in  population.</w:t>
      </w:r>
      <w:r>
        <w:rPr>
          <w:rStyle w:val="FootnoteCharacters"/>
          <w:rStyle w:val="FootnoteReference"/>
        </w:rPr>
        <w:footnoteReference w:id="7"/>
      </w:r>
      <w:r>
        <w:rPr/>
        <w:t xml:space="preserve">  Because California got more efficient more quickly, its electricity intensity declined much faster than that of the nation as a whole. The California Energy Commission estimates that, by 1999, energy efficiency investments and standards had removed about 10,000 Megawatts from California’s peak needs:  the equivalent of 20 giant power plants.</w:t>
      </w:r>
      <w:r>
        <w:rPr>
          <w:rStyle w:val="FootnoteCharacters"/>
          <w:rStyle w:val="FootnoteReference"/>
        </w:rPr>
        <w:footnoteReference w:id="8"/>
      </w:r>
    </w:p>
    <w:p>
      <w:pPr>
        <w:pStyle w:val="Normal"/>
        <w:rPr/>
      </w:pPr>
      <w:r>
        <w:rPr/>
      </w:r>
    </w:p>
    <w:p>
      <w:pPr>
        <w:pStyle w:val="Normal"/>
        <w:ind w:firstLine="720" w:end="0"/>
        <w:rPr/>
      </w:pPr>
      <w:r>
        <w:rPr/>
        <w:t>For the year 2000, the California Energy Commission reports a more rapid electricity-consumption growth rate of about 4.6%.  A remarkably robust economy (including a 9.3 percent increase for the year in personal income) and warmer weather both contributed.</w:t>
      </w:r>
      <w:r>
        <w:rPr>
          <w:rStyle w:val="FootnoteCharacters"/>
          <w:rStyle w:val="FootnoteReference"/>
        </w:rPr>
        <w:footnoteReference w:id="9"/>
      </w:r>
      <w:r>
        <w:rPr/>
        <w:t xml:space="preserve">  Still, from 1997-2000, the electricity intensity of California’s economy declined at an annual rate of about 4.4%, more than three times that for the rest of the nation.</w:t>
      </w:r>
      <w:r>
        <w:rPr>
          <w:rStyle w:val="FootnoteCharacters"/>
          <w:rStyle w:val="FootnoteReference"/>
        </w:rPr>
        <w:footnoteReference w:id="10"/>
      </w:r>
      <w:r>
        <w:rPr/>
        <w:t xml:space="preserve">   In the San Francisco Bay Area, the year 2000 capped five years of economic growth averaging 9% annually, but the region’s electricity consumption increased at only 2% per year.</w:t>
      </w:r>
      <w:r>
        <w:rPr>
          <w:rStyle w:val="FootnoteCharacters"/>
          <w:rStyle w:val="FootnoteReference"/>
        </w:rPr>
        <w:footnoteReference w:id="11"/>
      </w:r>
    </w:p>
    <w:p>
      <w:pPr>
        <w:pStyle w:val="Normal"/>
        <w:ind w:firstLine="720" w:end="0"/>
        <w:rPr/>
      </w:pPr>
      <w:r>
        <w:rPr/>
      </w:r>
    </w:p>
    <w:p>
      <w:pPr>
        <w:pStyle w:val="Normal"/>
        <w:ind w:firstLine="720" w:end="0"/>
        <w:rPr/>
      </w:pPr>
      <w:r>
        <w:rPr/>
        <w:t>In 2001, as the threat of supply interruptions loomed and wholesale prices skyrocketed, Californians responded even more aggressively.   For the six months from January to June 2001, electricity consumption was down more than 4% compared to a year earlier [JULY DATA TO BE ADDED AS AVAILABLE].</w:t>
      </w:r>
      <w:r>
        <w:rPr>
          <w:rStyle w:val="FootnoteCharacters"/>
          <w:rStyle w:val="FootnoteReference"/>
        </w:rPr>
        <w:footnoteReference w:id="12"/>
      </w:r>
      <w:r>
        <w:rPr/>
        <w:t xml:space="preserve">  Weather in these months was harsher than normal; when “weather adjusted” to reflect typical conditions, the reduction was more than 6%.    The most recent three-month period, ending in June 2001, produced a decline in actual electricity use of 5.1% and a weather-adjusted drop of 7.9%.   Yet the California economy continued to grow; nonfarm employment increased by 2.4% over the year ending in May 2001.</w:t>
      </w:r>
      <w:r>
        <w:rPr>
          <w:rStyle w:val="FootnoteCharacters"/>
          <w:rStyle w:val="FootnoteReference"/>
        </w:rPr>
        <w:footnoteReference w:id="13"/>
      </w:r>
      <w:r>
        <w:rPr/>
        <w:t xml:space="preserve">  The California Energy Commission also maintains running estimates of weather-adjusted trends in peak load for the state; the Commission estimates that weather-adjusted peaks for April, May and June declined by about 6.3%, 8.3% and 12.2%, respectively, compared with the same months in 2000.</w:t>
      </w:r>
      <w:r>
        <w:rPr>
          <w:rStyle w:val="FootnoteCharacters"/>
          <w:rStyle w:val="FootnoteReference"/>
        </w:rPr>
        <w:footnoteReference w:id="14"/>
      </w:r>
      <w:r>
        <w:rPr/>
        <w:t xml:space="preserve">  The June 2001 reduction represents about 4,750 megawatts.  During the month, a remarkable 29% of households served by PG&amp;E cut their electricity consumption by at least 20%.</w:t>
      </w:r>
      <w:r>
        <w:rPr>
          <w:rStyle w:val="FootnoteCharacters"/>
          <w:rStyle w:val="FootnoteReference"/>
        </w:rPr>
        <w:footnoteReference w:id="15"/>
      </w:r>
      <w:r>
        <w:rPr/>
        <w:t xml:space="preserve"> </w:t>
      </w:r>
    </w:p>
    <w:p>
      <w:pPr>
        <w:pStyle w:val="Normal"/>
        <w:ind w:firstLine="720" w:end="0"/>
        <w:rPr/>
      </w:pPr>
      <w:r>
        <w:rPr/>
      </w:r>
    </w:p>
    <w:p>
      <w:pPr>
        <w:pStyle w:val="Normal"/>
        <w:ind w:firstLine="720" w:end="0"/>
        <w:rPr/>
      </w:pPr>
      <w:r>
        <w:rPr/>
        <w:t>All of this was crucial to a most unexpected and welcome development:  even though June 2001 was hotter than June 2000, system reserves remained continuously above “alert” levels; a year earlier, alerts had been declared on six different June days.  Not coincidentally, June 2001 also brought sharp reductions in wholesale prices, which continued into July; prices averaged “$82 per megawatt hour in the first 12 days of June, compared to $119/MWh in June and $271/MWh in May.”</w:t>
      </w:r>
      <w:r>
        <w:rPr>
          <w:rStyle w:val="FootnoteCharacters"/>
          <w:rStyle w:val="FootnoteReference"/>
        </w:rPr>
        <w:footnoteReference w:id="16"/>
      </w:r>
      <w:r>
        <w:rPr/>
        <w:t xml:space="preserve">  By July 19, press accounts were appearing about California’s “Sudden Surplus of Energy.”</w:t>
      </w:r>
      <w:r>
        <w:rPr>
          <w:rStyle w:val="FootnoteCharacters"/>
          <w:rStyle w:val="FootnoteReference"/>
        </w:rPr>
        <w:footnoteReference w:id="17"/>
      </w:r>
      <w:r>
        <w:rPr/>
        <w:t xml:space="preserve">  ADD SUMMARY OF SYSTEM RELIABILITY AND CONSUMPTION RECORD THROUGH MID-AUGUST.  In the sections that follow, we review the policies and actions that helped get California back on the right track.</w:t>
      </w:r>
    </w:p>
    <w:p>
      <w:pPr>
        <w:pStyle w:val="Normal"/>
        <w:ind w:firstLine="720" w:end="0"/>
        <w:rPr/>
      </w:pPr>
      <w:r>
        <w:rPr/>
      </w:r>
    </w:p>
    <w:p>
      <w:pPr>
        <w:pStyle w:val="Normal"/>
        <w:ind w:firstLine="720" w:end="0"/>
        <w:rPr/>
      </w:pPr>
      <w:r>
        <w:rPr/>
        <w:t>ADD AND INTEGRATE HUMMEL GRAPHS:</w:t>
      </w:r>
    </w:p>
    <w:p>
      <w:pPr>
        <w:pStyle w:val="Normal"/>
        <w:ind w:firstLine="720" w:end="0"/>
        <w:rPr/>
      </w:pPr>
      <w:r>
        <w:rPr/>
      </w:r>
    </w:p>
    <w:p>
      <w:pPr>
        <w:pStyle w:val="Normal"/>
        <w:ind w:firstLine="720" w:end="0"/>
        <w:rPr/>
      </w:pPr>
      <w:r>
        <w:rPr/>
        <w:t>1. California electricity use v. economic growth, 1990 – 2000 [bar graph]</w:t>
      </w:r>
    </w:p>
    <w:p>
      <w:pPr>
        <w:pStyle w:val="Normal"/>
        <w:ind w:firstLine="720" w:end="0"/>
        <w:rPr/>
      </w:pPr>
      <w:r>
        <w:rPr/>
      </w:r>
    </w:p>
    <w:p>
      <w:pPr>
        <w:pStyle w:val="Normal"/>
        <w:ind w:firstLine="720" w:end="0"/>
        <w:rPr/>
      </w:pPr>
      <w:r>
        <w:rPr/>
        <w:t xml:space="preserve">2. California v national electricity intensity, 1990 – 2000 </w:t>
      </w:r>
    </w:p>
    <w:p>
      <w:pPr>
        <w:pStyle w:val="Normal"/>
        <w:ind w:firstLine="720" w:end="0"/>
        <w:rPr/>
      </w:pPr>
      <w:r>
        <w:rPr/>
      </w:r>
    </w:p>
    <w:p>
      <w:pPr>
        <w:pStyle w:val="Normal"/>
        <w:ind w:firstLine="720" w:end="0"/>
        <w:rPr/>
      </w:pPr>
      <w:r>
        <w:rPr/>
        <w:t xml:space="preserve">3. The record for 2001, month by month </w:t>
      </w:r>
    </w:p>
    <w:p>
      <w:pPr>
        <w:pStyle w:val="Normal"/>
        <w:ind w:firstLine="720" w:end="0"/>
        <w:rPr/>
      </w:pPr>
      <w:r>
        <w:rPr/>
      </w:r>
    </w:p>
    <w:p>
      <w:pPr>
        <w:pStyle w:val="Normal"/>
        <w:rPr/>
      </w:pPr>
      <w:r>
        <w:rPr/>
      </w:r>
    </w:p>
    <w:p>
      <w:pPr>
        <w:pStyle w:val="Heading2"/>
        <w:ind w:hanging="0" w:start="0"/>
        <w:rPr/>
      </w:pPr>
      <w:r>
        <w:rPr/>
        <w:t xml:space="preserve">III. RECENT LEGISLATIVE AND REGULATORY ACTIONS  </w:t>
      </w:r>
    </w:p>
    <w:p>
      <w:pPr>
        <w:pStyle w:val="Normal"/>
        <w:rPr/>
      </w:pPr>
      <w:r>
        <w:rPr/>
      </w:r>
    </w:p>
    <w:p>
      <w:pPr>
        <w:pStyle w:val="Normal"/>
        <w:rPr/>
      </w:pPr>
      <w:r>
        <w:rPr/>
        <w:tab/>
        <w:t>The demand reductions of 2001 were no accident.  And while they are in part a tribute to good old-fashioned civic mindedness, it helped that a host of coordinated policies and incentives were ready in advance.  These included government efficiency standards and financial incentives, funded from both electricity bills and the state’s General Fund.  Also crucial were broadly supported interventions to shield the most vulnerable Californians from punishing electric-rate increases.</w:t>
      </w:r>
    </w:p>
    <w:p>
      <w:pPr>
        <w:pStyle w:val="Normal"/>
        <w:rPr/>
      </w:pPr>
      <w:r>
        <w:rPr/>
      </w:r>
    </w:p>
    <w:p>
      <w:pPr>
        <w:pStyle w:val="Normal"/>
        <w:rPr/>
      </w:pPr>
      <w:r>
        <w:rPr/>
        <w:t>A. SUSTAINED FINANCIAL INCENTIVES THROUGH ELECTRICITY RATES</w:t>
      </w:r>
    </w:p>
    <w:p>
      <w:pPr>
        <w:pStyle w:val="Normal"/>
        <w:rPr/>
      </w:pPr>
      <w:r>
        <w:rPr/>
      </w:r>
    </w:p>
    <w:p>
      <w:pPr>
        <w:pStyle w:val="Normal"/>
        <w:rPr/>
      </w:pPr>
      <w:r>
        <w:rPr/>
        <w:tab/>
        <w:t>In the last two decades, a small fraction of every California utility bill has been dedicated to investments in energy efficiency, avoiding the need for nine giant 500 MW power plants.  Programs funded through this “system benefits charge” give homes and businesses incentives to save electricity more cheaply than it can be generated.   Long before recent price spikes, independent assessments had pegged the net benefits to California’s economy at almost $3 billion from 1990-1998 alone, compared to the cost of the electricity generation displaced.  The average cost of the saved energy was about 2.5 cents per kWh.</w:t>
      </w:r>
      <w:r>
        <w:rPr>
          <w:rStyle w:val="FootnoteCharacters"/>
          <w:rStyle w:val="FootnoteReference"/>
        </w:rPr>
        <w:footnoteReference w:id="18"/>
      </w:r>
      <w:r>
        <w:rPr/>
        <w:t xml:space="preserve"> </w:t>
      </w:r>
    </w:p>
    <w:p>
      <w:pPr>
        <w:pStyle w:val="Normal"/>
        <w:rPr/>
      </w:pPr>
      <w:r>
        <w:rPr/>
      </w:r>
    </w:p>
    <w:p>
      <w:pPr>
        <w:pStyle w:val="Normal"/>
        <w:rPr/>
      </w:pPr>
      <w:r>
        <w:rPr/>
        <w:tab/>
        <w:t>Energy efficiency programs in California have undergone the most rigorous measurement and verification process of any state in the country.  These programs must undergo detailed annual review before the Public Utilities Commission, where claimed savings receive close scrutiny.  Program impacts must be measured after measures are installed, and program impacts are audited independently.   The Oak Ridge National Laboratory’s review of more than 50 California program evaluations concluded that, on average, measured electricity savings were within 10 percent of anticipated levels.</w:t>
      </w:r>
      <w:r>
        <w:rPr>
          <w:rStyle w:val="FootnoteCharacters"/>
          <w:rStyle w:val="FootnoteReference"/>
        </w:rPr>
        <w:footnoteReference w:id="19"/>
      </w:r>
    </w:p>
    <w:p>
      <w:pPr>
        <w:pStyle w:val="Normal"/>
        <w:rPr/>
      </w:pPr>
      <w:r>
        <w:rPr/>
      </w:r>
    </w:p>
    <w:p>
      <w:pPr>
        <w:pStyle w:val="Normal"/>
        <w:rPr/>
      </w:pPr>
      <w:r>
        <w:rPr/>
        <w:tab/>
        <w:t>In September 2000, Governor Davis’s signature extended California’s system benefits charge on electric distribution service through 2012, while adding an inflation adjustment.  Senator Byron Sher and Assemblyman Rod Wright led the strongly bipartisan legislative effort.</w:t>
      </w:r>
      <w:r>
        <w:rPr>
          <w:rStyle w:val="FootnoteCharacters"/>
          <w:rStyle w:val="FootnoteReference"/>
        </w:rPr>
        <w:footnoteReference w:id="20"/>
      </w:r>
      <w:r>
        <w:rPr/>
        <w:t xml:space="preserve">  This legislation will result in more than $5 billion of investment in energy efficiency, renewable energy and related technology development from 2002-2012, which represents the largest sustainable energy fund ever created by a single legislative action.  The legislature has made independent provision for more than $170 million per year for low-income energy services, as explained further in subsection D below.  Both investor-owned and public power systems will contribute in proportion to their electricity revenues; as a result, most customers will continue paying about three tenths of a cent per hour in system benefits charges (less than three percent of their electricity bills).  Public power systems will continue to manage their own energy efficiency, renewable energy and technology investments.</w:t>
      </w:r>
    </w:p>
    <w:p>
      <w:pPr>
        <w:pStyle w:val="Normal"/>
        <w:rPr/>
      </w:pPr>
      <w:r>
        <w:rPr/>
        <w:tab/>
        <w:t xml:space="preserve"> </w:t>
      </w:r>
    </w:p>
    <w:p>
      <w:pPr>
        <w:pStyle w:val="Normal"/>
        <w:rPr/>
      </w:pPr>
      <w:r>
        <w:rPr/>
      </w:r>
    </w:p>
    <w:p>
      <w:pPr>
        <w:pStyle w:val="Normal"/>
        <w:rPr/>
      </w:pPr>
      <w:r>
        <w:rPr/>
        <w:t>B. EMERGENCY FINANCIAL INCENTIVES THROUGH GENERAL FUND</w:t>
      </w:r>
    </w:p>
    <w:p>
      <w:pPr>
        <w:pStyle w:val="Normal"/>
        <w:rPr/>
      </w:pPr>
      <w:r>
        <w:rPr/>
      </w:r>
    </w:p>
    <w:p>
      <w:pPr>
        <w:pStyle w:val="Normal"/>
        <w:ind w:firstLine="720" w:end="0"/>
        <w:rPr/>
      </w:pPr>
      <w:r>
        <w:rPr/>
        <w:t>Before adjourning in August 2000, the California legislature established several demand reduction initiatives at the Public Utilities Commission and the Energy Commission, and added $50 million in start-up funds from the state treasury.  Follow-up enactments in April 2001 greatly expanded this investment, with more than $730 million from California’s budget surplus flowing to measures that would provide immediate demand reductions and more relief for low-income households.  LESLIE, WE NEED YOUR BEST ESTIMATE AND SOURCES FOR SAVINGS ACHIEVED TO DATE THROUGH THE CEC PROGRAMS.  Additional details on program offerings and budgets appear in the Appendices.</w:t>
      </w:r>
    </w:p>
    <w:p>
      <w:pPr>
        <w:pStyle w:val="Normal"/>
        <w:rPr/>
      </w:pPr>
      <w:r>
        <w:rPr/>
      </w:r>
    </w:p>
    <w:p>
      <w:pPr>
        <w:pStyle w:val="Normal"/>
        <w:rPr/>
      </w:pPr>
      <w:r>
        <w:rPr/>
      </w:r>
    </w:p>
    <w:p>
      <w:pPr>
        <w:pStyle w:val="Normal"/>
        <w:rPr/>
      </w:pPr>
      <w:r>
        <w:rPr/>
        <w:t>C. ENERGY EFFICIENCY STANDARDS:</w:t>
      </w:r>
    </w:p>
    <w:p>
      <w:pPr>
        <w:pStyle w:val="Normal"/>
        <w:rPr/>
      </w:pPr>
      <w:r>
        <w:rPr/>
      </w:r>
    </w:p>
    <w:p>
      <w:pPr>
        <w:pStyle w:val="Normal"/>
        <w:ind w:firstLine="720" w:end="0"/>
        <w:rPr/>
      </w:pPr>
      <w:r>
        <w:rPr/>
        <w:t xml:space="preserve">The California Energy Commission made a strong contribution of its own to improving statewide energy efficiencies with a unanimous January 2001 vote to upgrade the state’s building code.  The revised standards will result in 10 -15% energy savings in all of California’s new residential and commercial buildings.  Over the first five years after the standard becomes effective on July 1, savings should reach 1,000 MW, which is equivalent to the peak power production of five mid-sized power plants.  On the residential side, the standards will result in installation of energy efficient windows, high-efficiency central air conditioners, and leak-proof duct systems.  Commercial buildings will have vastly improved glazing, and more efficient lighting and ventilation systems.  In addition, the new code contains a first-time compliance credit for “cool roofs.”  These roofs reduce the heat buildup in buildings by reflecting incoming sunlight and reducing air-conditioning needs.   </w:t>
      </w:r>
    </w:p>
    <w:p>
      <w:pPr>
        <w:pStyle w:val="Normal"/>
        <w:rPr/>
      </w:pPr>
      <w:r>
        <w:rPr/>
      </w:r>
    </w:p>
    <w:p>
      <w:pPr>
        <w:pStyle w:val="Normal"/>
        <w:ind w:firstLine="720" w:end="0"/>
        <w:rPr/>
      </w:pPr>
      <w:r>
        <w:rPr/>
        <w:t>By the end of the summer, the CEC is also likely to set new standards for a dozen major categories of electricity-using equipment.  These include new central air conditioners, coin-operated clothes washers, beverage vending machines, torchiere lamps, traffic signals, exit signs, transformers, and swimming pool heaters.  Annual savings of at least INSERT are expected, at average costs well below those of additional electricity production.</w:t>
      </w:r>
    </w:p>
    <w:p>
      <w:pPr>
        <w:pStyle w:val="Normal"/>
        <w:rPr/>
      </w:pPr>
      <w:r>
        <w:rPr/>
      </w:r>
    </w:p>
    <w:p>
      <w:pPr>
        <w:pStyle w:val="Normal"/>
        <w:rPr/>
      </w:pPr>
      <w:r>
        <w:rPr/>
        <w:t>D. LOW-INCOME SERVICES</w:t>
      </w:r>
    </w:p>
    <w:p>
      <w:pPr>
        <w:pStyle w:val="Normal"/>
        <w:rPr/>
      </w:pPr>
      <w:r>
        <w:rPr/>
      </w:r>
    </w:p>
    <w:p>
      <w:pPr>
        <w:pStyle w:val="Normal"/>
        <w:rPr/>
      </w:pPr>
      <w:r>
        <w:rPr/>
        <w:tab/>
        <w:t>In March 2001, surging wholesale prices forced the California Public Utilities Commission to raise retail rates for PG&amp;E and Southern California Edison by an average of three cents per kilowatt-hour, which “will cost customers of the utilities approximately $2.5 billion annually.”</w:t>
      </w:r>
      <w:r>
        <w:rPr>
          <w:rStyle w:val="FootnoteCharacters"/>
          <w:rStyle w:val="FootnoteReference"/>
        </w:rPr>
        <w:footnoteReference w:id="21"/>
      </w:r>
      <w:r>
        <w:rPr/>
        <w:t xml:space="preserve">  However, the Commission exempted from the increase all customers with incomes at or below 175% of federal poverty guidelines (about $30,000 for a family of four).  In legislation signed by Governor Davis in April, California added an emergency infusion of $260 million from the state’s budget surplus for low-income energy services, much of it targeted specifically at energy efficiency improvements designed to yield enduring reductions in bills for the state’s most vulnerable households.  This represents the largest investment ever made for such purposes by any state.</w:t>
      </w:r>
    </w:p>
    <w:p>
      <w:pPr>
        <w:pStyle w:val="Normal"/>
        <w:rPr/>
      </w:pPr>
      <w:r>
        <w:rPr/>
      </w:r>
    </w:p>
    <w:p>
      <w:pPr>
        <w:pStyle w:val="Normal"/>
        <w:rPr/>
      </w:pPr>
      <w:r>
        <w:rPr/>
        <w:tab/>
        <w:t>Both NRDC and SVMG have worked to help ensure adoption of these policies, reflecting longstanding commitments to equity and environmental quality in the delivery of energy services.   Thanks in part to our joint efforts, California law also ensures that at least $170 million annually will be available indefinitely for efficiency programs and bill discounts for low-income households (the source is a modest surcharge on gas and electric bills).  Appendix II provides a roadmap to the new low-income services added in the 2001 legislation.</w:t>
      </w:r>
    </w:p>
    <w:p>
      <w:pPr>
        <w:pStyle w:val="Normal"/>
        <w:ind w:firstLine="720" w:end="0"/>
        <w:rPr/>
      </w:pPr>
      <w:r>
        <w:rPr/>
      </w:r>
    </w:p>
    <w:p>
      <w:pPr>
        <w:pStyle w:val="Normal"/>
        <w:jc w:val="center"/>
        <w:rPr>
          <w:b/>
          <w:bCs/>
        </w:rPr>
      </w:pPr>
      <w:r>
        <w:rPr>
          <w:b/>
          <w:bCs/>
        </w:rPr>
        <w:t>IV. SILICON VALLEY RESPONDS:</w:t>
      </w:r>
    </w:p>
    <w:p>
      <w:pPr>
        <w:pStyle w:val="Normal"/>
        <w:jc w:val="center"/>
        <w:rPr>
          <w:b/>
          <w:bCs/>
        </w:rPr>
      </w:pPr>
      <w:r>
        <w:rPr>
          <w:b/>
          <w:bCs/>
        </w:rPr>
        <w:t xml:space="preserve">CASE STUDIES IN PRODUCTIVE DEMAND REDUCTION </w:t>
      </w:r>
    </w:p>
    <w:p>
      <w:pPr>
        <w:pStyle w:val="Normal"/>
        <w:rPr>
          <w:b/>
          <w:bCs/>
        </w:rPr>
      </w:pPr>
      <w:r>
        <w:rPr>
          <w:b/>
          <w:bCs/>
        </w:rPr>
      </w:r>
    </w:p>
    <w:p>
      <w:pPr>
        <w:pStyle w:val="Normal"/>
        <w:rPr/>
      </w:pPr>
      <w:r>
        <w:rPr/>
        <w:tab/>
        <w:t>California’s technology leadership is a crucial part of the solution to an overstressed electricity grid, in terms of both its own demand reduction efforts and the contribution of its products.  It is a myth that high technology is synonymous with exploding electricity needs.  David Isaacs of Hewlett Packard has noted that technology industries employ 10.6 percent of the manufacturing workforce while accounting for only 4.7 percent of the manufacturing sector’s electricity use.</w:t>
      </w:r>
      <w:r>
        <w:rPr>
          <w:rStyle w:val="FootnoteCharacters"/>
          <w:rStyle w:val="FootnoteReference"/>
        </w:rPr>
        <w:footnoteReference w:id="22"/>
      </w:r>
      <w:r>
        <w:rPr/>
        <w:t xml:space="preserve">  And the Lawrence Berkeley Laboratory has identified numerous ways in which information technology is allowing users to reduce their overall resource use in ways that swamp the relatively modest electricity consumption of the technologies themselves.</w:t>
      </w:r>
      <w:r>
        <w:rPr>
          <w:rStyle w:val="FootnoteCharacters"/>
          <w:rStyle w:val="FootnoteReference"/>
        </w:rPr>
        <w:footnoteReference w:id="23"/>
      </w:r>
      <w:r>
        <w:rPr/>
        <w:t xml:space="preserve">  With power-saving software activated, a typical personal computer and monitor use less energy daily than a 40-watt bulb absorbs in five hours, and a Palm Pilot is basically a one-tenth-of-a-watt appliance.  Yet e-commerce warehouses are dramatically less energy intensive than the retail facilities that they displace, even taking full account of the energy needed to deliver e-commerce products directly to customers’ premises. And flat screen monitors are replacing CRTs at an accelerating pace, cutting electricity needs by INSERT in the process.  Joseph Romm, formerly a senior official of the U.S. Department of Energy, estimates that “the Internet Economy could render unnecessary as much as 3 billion square feet of buildings – some 5% of U.S. commercial floorspace” and that “by 2010, e-materialization of paper, construction and other activities could reduce U.S. industrial energy and greenhouse gas emissions by more than 1.5%.”</w:t>
      </w:r>
      <w:r>
        <w:rPr>
          <w:rStyle w:val="FootnoteCharacters"/>
          <w:rStyle w:val="FootnoteReference"/>
        </w:rPr>
        <w:footnoteReference w:id="24"/>
      </w:r>
    </w:p>
    <w:p>
      <w:pPr>
        <w:pStyle w:val="Normal"/>
        <w:rPr/>
      </w:pPr>
      <w:r>
        <w:rPr/>
      </w:r>
    </w:p>
    <w:p>
      <w:pPr>
        <w:pStyle w:val="Normal"/>
        <w:ind w:firstLine="720" w:end="0"/>
        <w:rPr/>
      </w:pPr>
      <w:r>
        <w:rPr/>
        <w:t>Members of the Silicon Valley Manufacturing Group have been both vigilant and entrepreneurial about opportunities to improve energy efficiency at their own facilities.  Three case studies help make the point, although of course no concise account can capture the full diversity and creativity that California’s private sector has displayed during the crisis.</w:t>
      </w:r>
    </w:p>
    <w:p>
      <w:pPr>
        <w:pStyle w:val="Normal"/>
        <w:rPr/>
      </w:pPr>
      <w:r>
        <w:rPr/>
      </w:r>
    </w:p>
    <w:p>
      <w:pPr>
        <w:pStyle w:val="Normal"/>
        <w:rPr/>
      </w:pPr>
      <w:r>
        <w:rPr/>
        <w:t>[ADDITIONAL CASE STUDY MATERIAL WILL BE INTEGRATED AS SOON AS CAVANAGH GETS IT]</w:t>
      </w:r>
    </w:p>
    <w:p>
      <w:pPr>
        <w:pStyle w:val="Normal"/>
        <w:rPr/>
      </w:pPr>
      <w:r>
        <w:rPr/>
      </w:r>
    </w:p>
    <w:p>
      <w:pPr>
        <w:pStyle w:val="Normal"/>
        <w:rPr>
          <w:b/>
          <w:bCs/>
        </w:rPr>
      </w:pPr>
      <w:r>
        <w:rPr>
          <w:b/>
          <w:bCs/>
        </w:rPr>
        <w:t>1. Hewlett Packard</w:t>
      </w:r>
    </w:p>
    <w:p>
      <w:pPr>
        <w:pStyle w:val="Normal"/>
        <w:rPr>
          <w:b/>
          <w:bCs/>
        </w:rPr>
      </w:pPr>
      <w:r>
        <w:rPr>
          <w:b/>
          <w:bCs/>
        </w:rPr>
      </w:r>
    </w:p>
    <w:p>
      <w:pPr>
        <w:pStyle w:val="Normal"/>
        <w:rPr>
          <w:b/>
          <w:bCs/>
        </w:rPr>
      </w:pPr>
      <w:r>
        <w:rPr>
          <w:b/>
          <w:bCs/>
        </w:rPr>
        <w:t>2. Compaq</w:t>
      </w:r>
    </w:p>
    <w:p>
      <w:pPr>
        <w:pStyle w:val="Normal"/>
        <w:rPr>
          <w:b/>
          <w:bCs/>
        </w:rPr>
      </w:pPr>
      <w:r>
        <w:rPr>
          <w:b/>
          <w:bCs/>
        </w:rPr>
      </w:r>
    </w:p>
    <w:p>
      <w:pPr>
        <w:pStyle w:val="Normal"/>
        <w:rPr>
          <w:b/>
          <w:bCs/>
        </w:rPr>
      </w:pPr>
      <w:r>
        <w:rPr>
          <w:b/>
          <w:bCs/>
        </w:rPr>
        <w:t xml:space="preserve">3. Roche Bioscience </w:t>
      </w:r>
    </w:p>
    <w:p>
      <w:pPr>
        <w:pStyle w:val="Heading2"/>
        <w:ind w:hanging="0" w:start="0"/>
        <w:rPr/>
      </w:pPr>
      <w:r>
        <w:rPr/>
        <w:t>CONCLUSION</w:t>
      </w:r>
    </w:p>
    <w:p>
      <w:pPr>
        <w:pStyle w:val="Normal"/>
        <w:rPr/>
      </w:pPr>
      <w:r>
        <w:rPr/>
      </w:r>
    </w:p>
    <w:p>
      <w:pPr>
        <w:pStyle w:val="Normal"/>
        <w:rPr/>
      </w:pPr>
      <w:r>
        <w:rPr/>
        <w:tab/>
        <w:t xml:space="preserve">We are confident that Silicon Valley firms and technologies will continue to drive statewide, national and international trends toward improved efficiency and demand reduction.  And while the digital economy urgently needs reliable electricity services, it does not require or imply large and sustained increases in electricity consumption.   From the perspective of society’s energy resource constraints, Silicon Valley exemplifies the solutions, not the problem.   </w:t>
      </w:r>
    </w:p>
    <w:p>
      <w:pPr>
        <w:pStyle w:val="Normal"/>
        <w:rPr/>
      </w:pPr>
      <w:r>
        <w:rPr/>
      </w:r>
    </w:p>
    <w:p>
      <w:pPr>
        <w:pStyle w:val="Normal"/>
        <w:rPr/>
      </w:pPr>
      <w:r>
        <w:rPr/>
        <w:tab/>
        <w:t>For California as a whole, the statewide demand reductions described in this report are confounding those who predicted disaster for 2001.  We are retaking control of our energy destiny.  Californians have demonstrated that they know what is needed to ensure affordable and reliable electricity services while preserving environmental quality.  To that objective, and to the energy-efficiency policies and investments that are moving our state swiftly forward, NRDC and SVMG remain firmly committed.</w:t>
      </w:r>
    </w:p>
    <w:p>
      <w:pPr>
        <w:pStyle w:val="Normal"/>
        <w:rPr/>
      </w:pPr>
      <w:r>
        <w:rPr/>
      </w:r>
    </w:p>
    <w:p>
      <w:pPr>
        <w:pStyle w:val="Normal"/>
        <w:rPr/>
      </w:pPr>
      <w:r>
        <w:rPr/>
      </w:r>
    </w:p>
    <w:p>
      <w:pPr>
        <w:pStyle w:val="Normal"/>
        <w:rPr/>
      </w:pPr>
      <w:r>
        <w:rPr/>
      </w:r>
    </w:p>
    <w:p>
      <w:pPr>
        <w:pStyle w:val="Normal"/>
        <w:rPr/>
      </w:pPr>
      <w:r>
        <w:rPr/>
        <w:t>APPENDICES [current versions attached separately]</w:t>
      </w:r>
    </w:p>
    <w:p>
      <w:pPr>
        <w:pStyle w:val="Normal"/>
        <w:rPr/>
      </w:pPr>
      <w:r>
        <w:rPr/>
      </w:r>
    </w:p>
    <w:p>
      <w:pPr>
        <w:pStyle w:val="Normal"/>
        <w:rPr/>
      </w:pPr>
      <w:r>
        <w:rPr/>
        <w:t xml:space="preserve">I.  SUMMARY OF CALIFORNIA’S DEMAND REDUCTION INITIATIVES, 2000-2001 </w:t>
      </w:r>
    </w:p>
    <w:p>
      <w:pPr>
        <w:pStyle w:val="Normal"/>
        <w:rPr/>
      </w:pPr>
      <w:r>
        <w:rPr/>
      </w:r>
    </w:p>
    <w:p>
      <w:pPr>
        <w:pStyle w:val="Heading"/>
        <w:jc w:val="start"/>
        <w:rPr>
          <w:b w:val="false"/>
          <w:bCs w:val="false"/>
        </w:rPr>
      </w:pPr>
      <w:r>
        <w:rPr>
          <w:b w:val="false"/>
          <w:bCs w:val="false"/>
        </w:rPr>
        <w:t>II.  CALIFORNIA’S GENERAL FUND ALLOCATIONS TO ENERGY EFFICIENCY AND DEMAND REDUCTION, 2001</w:t>
      </w:r>
    </w:p>
    <w:p>
      <w:pPr>
        <w:pStyle w:val="Normal"/>
        <w:rPr>
          <w:b/>
          <w:bCs/>
        </w:rPr>
      </w:pPr>
      <w:r>
        <w:rPr>
          <w:b/>
          <w:bCs/>
        </w:rPr>
      </w:r>
    </w:p>
    <w:p>
      <w:pPr>
        <w:pStyle w:val="Normal"/>
        <w:rPr/>
      </w:pPr>
      <w:r>
        <w:rPr/>
        <w:t>III. CALIFORNIA’S 2001 SUPPLEMENTAL FUNDING FOR LOW-INCOME ENERGY SERVICES:  A ROADMAP</w:t>
      </w:r>
    </w:p>
    <w:p>
      <w:pPr>
        <w:pStyle w:val="Normal"/>
        <w:rPr/>
      </w:pPr>
      <w:r>
        <w:rPr/>
      </w:r>
    </w:p>
    <w:p>
      <w:pPr>
        <w:pStyle w:val="Heading2"/>
        <w:ind w:hanging="0" w:start="0"/>
        <w:rPr/>
      </w:pPr>
      <w:r>
        <w:rPr/>
        <w:t>ACKNOWLEDGEMENTS</w:t>
      </w:r>
    </w:p>
    <w:p>
      <w:pPr>
        <w:pStyle w:val="Normal"/>
        <w:rPr/>
      </w:pPr>
      <w:r>
        <w:rPr/>
      </w:r>
    </w:p>
    <w:p>
      <w:pPr>
        <w:pStyle w:val="Normal"/>
        <w:rPr/>
      </w:pPr>
      <w:r>
        <w:rPr/>
        <w:tab/>
        <w:t>[Here we will be at pains to recognize all contributors to this effort from the larger NRDC/SVMG families].</w:t>
      </w:r>
    </w:p>
    <w:sectPr>
      <w:footerReference w:type="default" r:id="rId2"/>
      <w:footerReference w:type="first" r:id="rId3"/>
      <w:footnotePr>
        <w:numFmt w:val="decimal"/>
      </w:footnotePr>
      <w:type w:val="nextPage"/>
      <w:pgSz w:w="12240" w:h="15840"/>
      <w:pgMar w:left="1800" w:right="1800" w:gutter="0" w:header="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0">
              <wp:simplePos x="0" y="0"/>
              <wp:positionH relativeFrom="margin">
                <wp:align>right</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419.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See R. Smith, “Probe of California Power Prices Begins, But New Plants Aren’t Seen as Solutions,” </w:t>
      </w:r>
      <w:r>
        <w:rPr>
          <w:u w:val="single"/>
        </w:rPr>
        <w:t>Wall Street Journal</w:t>
      </w:r>
      <w:r>
        <w:rPr/>
        <w:t>, September 11, 2000 (“[t]he average cost of power, per megawatt hour, was $185 in August, $117 in July and $167 in June”).  A price of $1.50 per kWh cleared the California Power Exchange’s day ahead market for deliveries at 6 am on December 13, 2000, according to the PX website (</w:t>
      </w:r>
      <w:r>
        <w:rPr>
          <w:rStyle w:val="Hyperlink"/>
        </w:rPr>
        <w:t>www.calpx.com</w:t>
      </w:r>
      <w:r>
        <w:rPr/>
        <w:t>).  The weighted average cost of system power purchased through the Power Exchange from November 20 through December 20, 2000 was 28 cents per kWh; for the period December 20 through January 22, 2001, it rose to 29.4 cents per kWh.  These weighted averages are reported by Green Mountain Energy, in the form of retail electicity bills distributed to customers for those months.</w:t>
      </w:r>
    </w:p>
  </w:footnote>
  <w:footnote w:id="3">
    <w:p>
      <w:pPr>
        <w:pStyle w:val="FootnoteText"/>
        <w:rPr/>
      </w:pPr>
      <w:r>
        <w:rPr>
          <w:rStyle w:val="FootnoteCharacters"/>
        </w:rPr>
        <w:footnoteRef/>
      </w:r>
      <w:r>
        <w:rPr/>
        <w:t xml:space="preserve"> </w:t>
      </w:r>
      <w:r>
        <w:rPr/>
        <w:t>This reflects the Henry Hub natural gas options contract prices listed on nymex.com through March 2002, as of April 5, 2001.</w:t>
      </w:r>
    </w:p>
  </w:footnote>
  <w:footnote w:id="4">
    <w:p>
      <w:pPr>
        <w:pStyle w:val="FootnoteText"/>
        <w:rPr/>
      </w:pPr>
      <w:r>
        <w:rPr>
          <w:rStyle w:val="FootnoteCharacters"/>
        </w:rPr>
        <w:footnoteRef/>
      </w:r>
      <w:r>
        <w:rPr/>
        <w:t xml:space="preserve"> </w:t>
      </w:r>
      <w:r>
        <w:rPr/>
        <w:t xml:space="preserve">North American Electric Reliability Council, </w:t>
      </w:r>
      <w:r>
        <w:rPr>
          <w:u w:val="single"/>
        </w:rPr>
        <w:t>2001 Summer Special Assessment:  Reliability of the Bulk Electricity Supply in North America</w:t>
      </w:r>
      <w:r>
        <w:rPr/>
        <w:t xml:space="preserve"> (May 2001), p. 11.  </w:t>
      </w:r>
    </w:p>
  </w:footnote>
  <w:footnote w:id="5">
    <w:p>
      <w:pPr>
        <w:pStyle w:val="FootnoteText"/>
        <w:rPr/>
      </w:pPr>
      <w:r>
        <w:rPr>
          <w:rStyle w:val="FootnoteCharacters"/>
        </w:rPr>
        <w:footnoteRef/>
      </w:r>
      <w:r>
        <w:rPr/>
        <w:t xml:space="preserve">For example, compared with averages during the 1995-2000 period, generation from the Northwest’s federal hydropower system dropped by more than 5,000 MW during the months of March – June, 2001.  Bonneville Power Administration, </w:t>
      </w:r>
      <w:r>
        <w:rPr>
          <w:u w:val="single"/>
        </w:rPr>
        <w:t>Power System Data for the Week Ending July 13, 2001</w:t>
      </w:r>
      <w:r>
        <w:rPr/>
        <w:t>.</w:t>
      </w:r>
    </w:p>
  </w:footnote>
  <w:footnote w:id="6">
    <w:p>
      <w:pPr>
        <w:pStyle w:val="FootnoteText"/>
        <w:rPr/>
      </w:pPr>
      <w:r>
        <w:rPr>
          <w:rStyle w:val="FootnoteCharacters"/>
        </w:rPr>
        <w:footnoteRef/>
      </w:r>
      <w:r>
        <w:rPr/>
        <w:t xml:space="preserve">For a provocative treatment, see R. McCullough, “Price Spike Tsunami:  How Market Power Soaked California,” </w:t>
      </w:r>
      <w:r>
        <w:rPr>
          <w:u w:val="single"/>
        </w:rPr>
        <w:t>Public Utilities Fortnightly</w:t>
      </w:r>
      <w:r>
        <w:rPr/>
        <w:t xml:space="preserve"> (January 1, 2001).  The California Independent System Operator renewed formal claims of anticompetitive actions by generators on March 1, 2001.  See also T. Davis,  </w:t>
      </w:r>
      <w:r>
        <w:rPr>
          <w:u w:val="single"/>
        </w:rPr>
        <w:t>Cal-ISO to FERC:  Power Sales Reek of Market Power</w:t>
      </w:r>
      <w:r>
        <w:rPr/>
        <w:t xml:space="preserve">, The Energy Daily, March 2, 2001, p. 1 (ISO contends that “as much as $247 million or 21 percent of the real-time energy costs during December 2000 and $315 million or 63 percent of the real-time energy costs for January 2001 represent charges that may exceed just and reasonable levels”). </w:t>
      </w:r>
    </w:p>
  </w:footnote>
  <w:footnote w:id="7">
    <w:p>
      <w:pPr>
        <w:pStyle w:val="FootnoteText"/>
        <w:rPr/>
      </w:pPr>
      <w:r>
        <w:rPr>
          <w:rStyle w:val="FootnoteCharacters"/>
        </w:rPr>
        <w:footnoteRef/>
      </w:r>
      <w:r>
        <w:rPr/>
        <w:t xml:space="preserve"> </w:t>
      </w:r>
      <w:r>
        <w:rPr/>
        <w:t>Source: EIA: State Energy Data Report 1999 at: http://www.eia.doe.gov/emeu/sedr/contents.html.</w:t>
      </w:r>
    </w:p>
  </w:footnote>
  <w:footnote w:id="8">
    <w:p>
      <w:pPr>
        <w:pStyle w:val="FootnoteText"/>
        <w:rPr/>
      </w:pPr>
      <w:r>
        <w:rPr>
          <w:rStyle w:val="FootnoteCharacters"/>
        </w:rPr>
        <w:footnoteRef/>
      </w:r>
      <w:r>
        <w:rPr/>
        <w:t xml:space="preserve"> </w:t>
      </w:r>
      <w:r>
        <w:rPr/>
        <w:t xml:space="preserve">See California Energy Commission,  </w:t>
      </w:r>
      <w:r>
        <w:rPr>
          <w:u w:val="single"/>
        </w:rPr>
        <w:t>The Energy Efficiency Public Good Charge Report</w:t>
      </w:r>
      <w:r>
        <w:rPr/>
        <w:t>, December 1999, at 12 (savings estimates cover 1975-1998).</w:t>
      </w:r>
    </w:p>
  </w:footnote>
  <w:footnote w:id="9">
    <w:p>
      <w:pPr>
        <w:pStyle w:val="FootnoteText"/>
        <w:ind w:hanging="90" w:start="90" w:end="0"/>
        <w:rPr/>
      </w:pPr>
      <w:r>
        <w:rPr>
          <w:rStyle w:val="FootnoteCharacters"/>
        </w:rPr>
        <w:footnoteRef/>
      </w:r>
      <w:r>
        <w:rPr/>
        <w:t xml:space="preserve"> </w:t>
      </w:r>
      <w:r>
        <w:rPr/>
        <w:t xml:space="preserve">About 7% of the total increase reflects the addition of an extra day of consumption due to leap year. The Energy Commission’s estimate for electricity consumption in 2000 is 264,429 GWh. See </w:t>
      </w:r>
      <w:r>
        <w:rPr>
          <w:rStyle w:val="Hyperlink"/>
        </w:rPr>
        <w:t>http://www.energy.ca.gov/electricity/consumption_by_sector.html</w:t>
      </w:r>
      <w:r>
        <w:rPr/>
        <w:t xml:space="preserve">.  Personal income growth data are from California State Auditor, </w:t>
      </w:r>
      <w:r>
        <w:rPr>
          <w:u w:val="single"/>
        </w:rPr>
        <w:t>Energy Deregulation: The Benefits of Competition Were Undermined by Structural Flaws in the Market, Unsuccessful Oversight, and Uncontrollable Competitive Forces</w:t>
      </w:r>
      <w:r>
        <w:rPr/>
        <w:t xml:space="preserve"> (March 2001), p. 58.</w:t>
      </w:r>
    </w:p>
  </w:footnote>
  <w:footnote w:id="10">
    <w:p>
      <w:pPr>
        <w:pStyle w:val="FootnoteText"/>
        <w:rPr/>
      </w:pPr>
      <w:r>
        <w:rPr>
          <w:rStyle w:val="FootnoteCharacters"/>
        </w:rPr>
        <w:footnoteRef/>
      </w:r>
      <w:r>
        <w:rPr/>
        <w:t xml:space="preserve"> </w:t>
      </w:r>
      <w:r>
        <w:rPr/>
        <w:t xml:space="preserve">A.B. Lovins, </w:t>
      </w:r>
      <w:r>
        <w:rPr>
          <w:u w:val="single"/>
        </w:rPr>
        <w:t>What Happened in California:  Facts, Myths and Issues</w:t>
      </w:r>
      <w:r>
        <w:rPr/>
        <w:t xml:space="preserve"> (June 2001),  at 3.</w:t>
      </w:r>
    </w:p>
  </w:footnote>
  <w:footnote w:id="11">
    <w:p>
      <w:pPr>
        <w:pStyle w:val="FootnoteText"/>
        <w:rPr/>
      </w:pPr>
      <w:r>
        <w:rPr>
          <w:rStyle w:val="FootnoteCharacters"/>
        </w:rPr>
        <w:footnoteRef/>
      </w:r>
      <w:r>
        <w:rPr/>
        <w:t xml:space="preserve"> </w:t>
      </w:r>
      <w:r>
        <w:rPr/>
        <w:t xml:space="preserve">Bay Area Economic Forum, THE BAY AREA - A KNOWLEDGE ECONOMY NEEDS POWER (April 2001), at 20.  </w:t>
      </w:r>
    </w:p>
  </w:footnote>
  <w:footnote w:id="12">
    <w:p>
      <w:pPr>
        <w:pStyle w:val="FootnoteText"/>
        <w:rPr/>
      </w:pPr>
      <w:r>
        <w:rPr>
          <w:rStyle w:val="FootnoteCharacters"/>
        </w:rPr>
        <w:footnoteRef/>
      </w:r>
      <w:r>
        <w:rPr/>
        <w:t xml:space="preserve"> </w:t>
      </w:r>
      <w:r>
        <w:rPr/>
        <w:t>Available data reflect the control area of the California Independent System Operator, covering more than 80% of statewide electricity use.</w:t>
      </w:r>
    </w:p>
  </w:footnote>
  <w:footnote w:id="13">
    <w:p>
      <w:pPr>
        <w:pStyle w:val="FootnoteText"/>
        <w:rPr/>
      </w:pPr>
      <w:r>
        <w:rPr>
          <w:rStyle w:val="FootnoteCharacters"/>
        </w:rPr>
        <w:footnoteRef/>
      </w:r>
      <w:r>
        <w:rPr/>
        <w:t xml:space="preserve"> </w:t>
      </w:r>
      <w:r>
        <w:rPr/>
        <w:t>Data provided to the authors by Richard Rohrer, California Energy Commission (personal communication, July 2001).</w:t>
      </w:r>
    </w:p>
  </w:footnote>
  <w:footnote w:id="14">
    <w:p>
      <w:pPr>
        <w:pStyle w:val="Normal"/>
        <w:rPr/>
      </w:pPr>
      <w:r>
        <w:rPr>
          <w:rStyle w:val="FootnoteCharacters"/>
        </w:rPr>
        <w:footnoteRef/>
      </w:r>
      <w:r>
        <w:rPr>
          <w:sz w:val="20"/>
          <w:szCs w:val="20"/>
        </w:rPr>
        <w:t xml:space="preserve"> </w:t>
      </w:r>
      <w:r>
        <w:rPr>
          <w:sz w:val="20"/>
          <w:szCs w:val="20"/>
        </w:rPr>
        <w:t xml:space="preserve">See California Energy Commission, </w:t>
      </w:r>
      <w:r>
        <w:rPr>
          <w:sz w:val="20"/>
          <w:szCs w:val="20"/>
          <w:u w:val="single"/>
        </w:rPr>
        <w:t>Total Conservation in the ISO Area</w:t>
      </w:r>
      <w:r>
        <w:rPr>
          <w:sz w:val="20"/>
          <w:szCs w:val="20"/>
        </w:rPr>
        <w:t xml:space="preserve"> (6/1/01) (continuously updated at the CEC website, </w:t>
      </w:r>
      <w:r>
        <w:rPr>
          <w:rStyle w:val="Hyperlink"/>
          <w:sz w:val="20"/>
          <w:szCs w:val="20"/>
        </w:rPr>
        <w:t>www.energy.ca</w:t>
      </w:r>
      <w:r>
        <w:rPr>
          <w:sz w:val="20"/>
          <w:szCs w:val="20"/>
        </w:rPr>
        <w:t>.gov).   When loads are adjusted for economic growth, the reductions are larger still.</w:t>
      </w:r>
    </w:p>
  </w:footnote>
  <w:footnote w:id="15">
    <w:p>
      <w:pPr>
        <w:pStyle w:val="FootnoteText"/>
        <w:rPr/>
      </w:pPr>
      <w:r>
        <w:rPr>
          <w:rStyle w:val="FootnoteCharacters"/>
        </w:rPr>
        <w:footnoteRef/>
      </w:r>
      <w:r>
        <w:rPr/>
        <w:t xml:space="preserve"> </w:t>
      </w:r>
      <w:r>
        <w:rPr/>
        <w:t xml:space="preserve">See Joe Garofoli, </w:t>
      </w:r>
      <w:r>
        <w:rPr>
          <w:u w:val="single"/>
        </w:rPr>
        <w:t>PG&amp;E Customers Earn $7.6 Million for Conservation”</w:t>
      </w:r>
      <w:r>
        <w:rPr/>
        <w:t>, San Francisco Chronicle, July 13, 2001.</w:t>
      </w:r>
    </w:p>
  </w:footnote>
  <w:footnote w:id="16">
    <w:p>
      <w:pPr>
        <w:pStyle w:val="FootnoteText"/>
        <w:rPr/>
      </w:pPr>
      <w:r>
        <w:rPr>
          <w:rStyle w:val="FootnoteCharacters"/>
        </w:rPr>
        <w:footnoteRef/>
      </w:r>
      <w:r>
        <w:rPr/>
        <w:t xml:space="preserve"> </w:t>
      </w:r>
      <w:r>
        <w:rPr/>
        <w:t xml:space="preserve">Jessica Berthold, </w:t>
      </w:r>
      <w:r>
        <w:rPr>
          <w:u w:val="single"/>
        </w:rPr>
        <w:t>CDWR: California Electricity Costs, Prices Continue to Decline in July</w:t>
      </w:r>
      <w:r>
        <w:rPr/>
        <w:t>, Dow Jones Newswires, July 17, 2001.</w:t>
      </w:r>
    </w:p>
  </w:footnote>
  <w:footnote w:id="17">
    <w:p>
      <w:pPr>
        <w:pStyle w:val="FootnoteText"/>
        <w:rPr/>
      </w:pPr>
      <w:r>
        <w:rPr>
          <w:rStyle w:val="FootnoteCharacters"/>
        </w:rPr>
        <w:footnoteRef/>
      </w:r>
      <w:r>
        <w:rPr/>
        <w:t xml:space="preserve"> </w:t>
      </w:r>
      <w:r>
        <w:rPr/>
        <w:t xml:space="preserve">James Sterngold, </w:t>
      </w:r>
      <w:r>
        <w:rPr>
          <w:u w:val="single"/>
        </w:rPr>
        <w:t>California’s New Problem:  Sudden Surplus of Energy</w:t>
      </w:r>
      <w:r>
        <w:rPr/>
        <w:t>, New York Times, July 19, 2001.</w:t>
      </w:r>
    </w:p>
  </w:footnote>
  <w:footnote w:id="18">
    <w:p>
      <w:pPr>
        <w:pStyle w:val="FootnoteText"/>
        <w:rPr/>
      </w:pPr>
      <w:r>
        <w:rPr>
          <w:rStyle w:val="FootnoteCharacters"/>
        </w:rPr>
        <w:footnoteRef/>
      </w:r>
      <w:r>
        <w:rPr/>
        <w:t xml:space="preserve"> </w:t>
      </w:r>
      <w:r>
        <w:rPr/>
        <w:t xml:space="preserve">See, </w:t>
      </w:r>
      <w:r>
        <w:rPr>
          <w:u w:val="single"/>
        </w:rPr>
        <w:t>e.g.,</w:t>
      </w:r>
      <w:r>
        <w:rPr/>
        <w:t xml:space="preserve"> Sheryl Carter, </w:t>
      </w:r>
      <w:r>
        <w:rPr>
          <w:u w:val="single"/>
        </w:rPr>
        <w:t>Investments in the Public Interest:  California’s Public Benefit Programs Under Assembly Bill 1890</w:t>
      </w:r>
      <w:r>
        <w:rPr/>
        <w:t xml:space="preserve"> (Natural Resources Defense Council, January 2000) (citing sources).</w:t>
      </w:r>
    </w:p>
  </w:footnote>
  <w:footnote w:id="19">
    <w:p>
      <w:pPr>
        <w:pStyle w:val="FootnoteText"/>
        <w:rPr/>
      </w:pPr>
      <w:r>
        <w:rPr>
          <w:rStyle w:val="FootnoteCharacters"/>
        </w:rPr>
        <w:footnoteRef/>
      </w:r>
      <w:r>
        <w:rPr/>
        <w:t xml:space="preserve"> </w:t>
      </w:r>
      <w:r>
        <w:rPr/>
        <w:t xml:space="preserve">M. Brown &amp; P.E. Mihlmester, </w:t>
      </w:r>
      <w:r>
        <w:rPr>
          <w:u w:val="single"/>
        </w:rPr>
        <w:t>Summary of California DSM Impact Evaluation Studies</w:t>
      </w:r>
      <w:r>
        <w:rPr/>
        <w:t xml:space="preserve"> (Oak Ridge National Laboratory, ORNL/CON-403, October 1994).</w:t>
      </w:r>
    </w:p>
  </w:footnote>
  <w:footnote w:id="20">
    <w:p>
      <w:pPr>
        <w:pStyle w:val="FootnoteText"/>
        <w:rPr/>
      </w:pPr>
      <w:r>
        <w:rPr>
          <w:rStyle w:val="FootnoteCharacters"/>
        </w:rPr>
        <w:footnoteRef/>
      </w:r>
      <w:r>
        <w:rPr/>
        <w:t xml:space="preserve"> </w:t>
      </w:r>
      <w:r>
        <w:rPr/>
        <w:t>The bills in question were AB995 (Wright) and SB1194 (Sher).</w:t>
      </w:r>
    </w:p>
  </w:footnote>
  <w:footnote w:id="21">
    <w:p>
      <w:pPr>
        <w:pStyle w:val="FootnoteText"/>
        <w:rPr/>
      </w:pPr>
      <w:r>
        <w:rPr>
          <w:rStyle w:val="FootnoteCharacters"/>
        </w:rPr>
        <w:footnoteRef/>
      </w:r>
      <w:r>
        <w:rPr/>
        <w:t xml:space="preserve"> </w:t>
      </w:r>
      <w:r>
        <w:rPr/>
        <w:t xml:space="preserve">California Public Utilities Commission, Decision 01-03-082 (March 27, 2001), p. 2.  </w:t>
      </w:r>
    </w:p>
  </w:footnote>
  <w:footnote w:id="22">
    <w:p>
      <w:pPr>
        <w:pStyle w:val="FootnoteText"/>
        <w:rPr/>
      </w:pPr>
      <w:r>
        <w:rPr>
          <w:rStyle w:val="FootnoteCharacters"/>
        </w:rPr>
        <w:footnoteRef/>
      </w:r>
      <w:r>
        <w:rPr/>
        <w:t xml:space="preserve"> </w:t>
      </w:r>
      <w:r>
        <w:rPr/>
        <w:t xml:space="preserve">Scott Nance, </w:t>
      </w:r>
      <w:r>
        <w:rPr>
          <w:u w:val="single"/>
        </w:rPr>
        <w:t>Tech Industry:  We are Not Energy Guzzlers</w:t>
      </w:r>
      <w:r>
        <w:rPr/>
        <w:t>, The Energy Daily, June 14, 2001, p. 3.</w:t>
      </w:r>
    </w:p>
  </w:footnote>
  <w:footnote w:id="23">
    <w:p>
      <w:pPr>
        <w:pStyle w:val="FootnoteText"/>
        <w:rPr/>
      </w:pPr>
      <w:r>
        <w:rPr>
          <w:rStyle w:val="FootnoteCharacters"/>
        </w:rPr>
        <w:footnoteRef/>
      </w:r>
      <w:r>
        <w:rPr/>
        <w:t xml:space="preserve"> </w:t>
      </w:r>
      <w:r>
        <w:rPr/>
        <w:t>See http://enduse.lbl.gov/projects/infotech.html.</w:t>
      </w:r>
    </w:p>
  </w:footnote>
  <w:footnote w:id="24">
    <w:p>
      <w:pPr>
        <w:pStyle w:val="FootnoteText"/>
        <w:rPr/>
      </w:pPr>
      <w:r>
        <w:rPr>
          <w:rStyle w:val="FootnoteCharacters"/>
        </w:rPr>
        <w:footnoteRef/>
      </w:r>
      <w:r>
        <w:rPr/>
        <w:t xml:space="preserve"> </w:t>
      </w:r>
      <w:r>
        <w:rPr/>
        <w:t>Statement of Joe Romm, Executive Director, Center for Energy and Climate Solutions, before the U.S. House of Representatives Subcommittee on National Economic Growth, Natural Resources and Regulatory Affairs of the Committee on Government Reform (February 2, 2000).</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3"/>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ind w:firstLine="720" w:start="0" w:end="0"/>
      <w:jc w:val="center"/>
      <w:outlineLvl w:val="2"/>
    </w:pPr>
    <w:rPr>
      <w:b/>
      <w:bC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qFormat/>
    <w:rPr>
      <w:color w:val="0000FF"/>
      <w:u w:val="single"/>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BodyText2">
    <w:name w:val="Body Text 2"/>
    <w:basedOn w:val="Normal"/>
    <w:qFormat/>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ind w:hanging="0" w:start="360" w:end="0"/>
    </w:pPr>
    <w:rPr/>
  </w:style>
  <w:style w:type="paragraph" w:styleId="BodyTextIndent2">
    <w:name w:val="Body Text Indent 2"/>
    <w:basedOn w:val="Normal"/>
    <w:qFormat/>
    <w:pPr>
      <w:ind w:firstLine="360" w:start="0" w:end="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2001-07-27T18:21:00Z</dcterms:created>
  <dc:creator>RCavanagh</dc:creator>
  <dc:description/>
  <dc:language>en-CA</dc:language>
  <cp:lastModifiedBy>Administrator</cp:lastModifiedBy>
  <dcterms:modified xsi:type="dcterms:W3CDTF">2001-07-27T18:21:00Z</dcterms:modified>
  <cp:revision>2</cp:revision>
  <dc:subject/>
  <dc:title>ENERGY EFFICIENCY LEADERSHIP:</dc:title>
</cp:coreProperties>
</file>