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NEWPOWER ANNOUNCES SECOND QUARTER RESULTS</w:t>
      </w:r>
    </w:p>
    <w:p>
      <w:pPr>
        <w:pStyle w:val="Header"/>
        <w:numPr>
          <w:ilvl w:val="0"/>
          <w:numId w:val="6"/>
        </w:numPr>
        <w:tabs>
          <w:tab w:val="clear" w:pos="4320"/>
          <w:tab w:val="clear" w:pos="8640"/>
        </w:tabs>
        <w:spacing w:before="40" w:after="0"/>
        <w:jc w:val="center"/>
        <w:rPr>
          <w:b/>
        </w:rPr>
      </w:pPr>
      <w:r>
        <w:rPr>
          <w:b/>
        </w:rPr>
        <w:t>Meets Customer Count and EPS –</w:t>
      </w:r>
    </w:p>
    <w:p>
      <w:pPr>
        <w:pStyle w:val="BodyText3"/>
        <w:rPr>
          <w:b/>
        </w:rPr>
      </w:pPr>
      <w:r>
        <w:rPr>
          <w:b/>
        </w:rPr>
      </w:r>
    </w:p>
    <w:p>
      <w:pPr>
        <w:pStyle w:val="BodyText3"/>
        <w:rPr/>
      </w:pPr>
      <w:r>
        <w:rPr/>
        <w:t>PURCHASE, NY, August 7, 2001 – NewPower Holdings, Inc. (NYSE: NPW), parent of The New Power Company, the first national provider of electricity and natural gas to residential and small commercial customers, today reported financial results for the second quarter ended June 30, 2001.  NewPower also issued an updated 2001 forecast, including specific estimates for the third and fourth quarters.</w:t>
      </w:r>
    </w:p>
    <w:p>
      <w:pPr>
        <w:pStyle w:val="Normal"/>
        <w:spacing w:before="40" w:after="0"/>
        <w:rPr/>
      </w:pPr>
      <w:r>
        <w:rPr/>
      </w:r>
    </w:p>
    <w:p>
      <w:pPr>
        <w:pStyle w:val="Normal"/>
        <w:spacing w:before="40" w:after="0"/>
        <w:rPr/>
      </w:pPr>
      <w:r>
        <w:rPr/>
        <w:t xml:space="preserve">NewPower reported a net loss of $55.6 million, or a loss of $0.96 per basic and diluted share, based on 58,150,120 weighted average common shares outstanding for the second quarter ended June 30, 2001.  The loss per share is in line with previous guidance of $0.89 to $0.96 loss per share provided in the first quarter earnings announcement.  </w:t>
      </w:r>
    </w:p>
    <w:p>
      <w:pPr>
        <w:pStyle w:val="Header"/>
        <w:tabs>
          <w:tab w:val="clear" w:pos="4320"/>
          <w:tab w:val="clear" w:pos="8640"/>
        </w:tabs>
        <w:spacing w:before="40" w:after="0"/>
        <w:rPr/>
      </w:pPr>
      <w:r>
        <w:rPr/>
      </w:r>
    </w:p>
    <w:p>
      <w:pPr>
        <w:pStyle w:val="Header"/>
        <w:tabs>
          <w:tab w:val="clear" w:pos="4320"/>
          <w:tab w:val="clear" w:pos="8640"/>
        </w:tabs>
        <w:spacing w:before="40" w:after="0"/>
        <w:rPr/>
      </w:pPr>
      <w:r>
        <w:rPr/>
        <w:t>HIGHLIGHTS</w:t>
      </w:r>
    </w:p>
    <w:p>
      <w:pPr>
        <w:pStyle w:val="Normal"/>
        <w:numPr>
          <w:ilvl w:val="0"/>
          <w:numId w:val="4"/>
        </w:numPr>
        <w:tabs>
          <w:tab w:val="left" w:pos="720" w:leader="none"/>
        </w:tabs>
        <w:ind w:hanging="360" w:start="720" w:end="720"/>
        <w:rPr/>
      </w:pPr>
      <w:r>
        <w:rPr/>
        <w:t>Customer count increased 19 percent to over 752,000</w:t>
      </w:r>
    </w:p>
    <w:p>
      <w:pPr>
        <w:pStyle w:val="Normal"/>
        <w:numPr>
          <w:ilvl w:val="0"/>
          <w:numId w:val="5"/>
        </w:numPr>
        <w:tabs>
          <w:tab w:val="left" w:pos="720" w:leader="none"/>
        </w:tabs>
        <w:ind w:hanging="360" w:start="720" w:end="720"/>
        <w:rPr/>
      </w:pPr>
      <w:r>
        <w:rPr/>
        <w:t>Cash and cash equivalents balances at end of the second quarter were $431 million,</w:t>
      </w:r>
    </w:p>
    <w:p>
      <w:pPr>
        <w:pStyle w:val="Normal"/>
        <w:numPr>
          <w:ilvl w:val="0"/>
          <w:numId w:val="4"/>
        </w:numPr>
        <w:tabs>
          <w:tab w:val="left" w:pos="720" w:leader="none"/>
        </w:tabs>
        <w:ind w:hanging="360" w:start="720" w:end="720"/>
        <w:rPr/>
      </w:pPr>
      <w:r>
        <w:rPr/>
        <w:t>Net revenues of $64.6 million</w:t>
      </w:r>
    </w:p>
    <w:p>
      <w:pPr>
        <w:pStyle w:val="Normal"/>
        <w:numPr>
          <w:ilvl w:val="0"/>
          <w:numId w:val="5"/>
        </w:numPr>
        <w:tabs>
          <w:tab w:val="left" w:pos="720" w:leader="none"/>
        </w:tabs>
        <w:ind w:hanging="360" w:start="720" w:end="720"/>
        <w:rPr/>
      </w:pPr>
      <w:r>
        <w:rPr/>
        <w:t>Gross margin of $6.0 million</w:t>
      </w:r>
    </w:p>
    <w:p>
      <w:pPr>
        <w:pStyle w:val="Header"/>
        <w:tabs>
          <w:tab w:val="clear" w:pos="4320"/>
          <w:tab w:val="clear" w:pos="8640"/>
        </w:tabs>
        <w:spacing w:before="40" w:after="0"/>
        <w:rPr/>
      </w:pPr>
      <w:r>
        <w:rPr/>
      </w:r>
    </w:p>
    <w:p>
      <w:pPr>
        <w:pStyle w:val="Header"/>
        <w:tabs>
          <w:tab w:val="clear" w:pos="4320"/>
          <w:tab w:val="clear" w:pos="8640"/>
        </w:tabs>
        <w:spacing w:before="40" w:after="0"/>
        <w:rPr/>
      </w:pPr>
      <w:r>
        <w:rPr/>
        <w:t>“</w:t>
      </w:r>
      <w:r>
        <w:rPr/>
        <w:t>Our second quarter results reflect the strength of NewPower’s business model,” said H. Eugene Lockhart, president and chief executive officer of The New Power Company.  “While the mild weather that the country experienced in the second quarter reduced the volumes of energy that our customers consumed, we achieved excellent customer growth.”  Mr. Lockhart continued, “We encountered unexpected stresses on the business in the second quarter from regulatory actions outside of our control.  These external forces had a negative impact on revenue and margin, specifically, PJM in the Pennsylvania and New Jersey markets, and ERCOT in the Texas market.  Despite these forces, we took actions to achieve our bottom line targets and conserve cash.”</w:t>
      </w:r>
    </w:p>
    <w:p>
      <w:pPr>
        <w:pStyle w:val="Normal"/>
        <w:spacing w:before="40" w:after="0"/>
        <w:rPr/>
      </w:pPr>
      <w:r>
        <w:rPr/>
      </w:r>
    </w:p>
    <w:p>
      <w:pPr>
        <w:pStyle w:val="Normal"/>
        <w:spacing w:before="40" w:after="0"/>
        <w:rPr/>
      </w:pPr>
      <w:r>
        <w:rPr/>
        <w:t xml:space="preserve">Net revenues were $64.6 million for the 2001 second quarter, below the company’s previous revenue target of $70 to $75 million.  Gross margin was $6 million, also lower than the Company's prior estimate of $7 to 8 million.  The mild weather experienced throughout much of the country during the second quarter reduced consumption of power and gas, below levels anticipated by the Company.  In addition, a significant and unwarranted increase in installed capacity (ICAP) charges by PJM (Pennsylvania and New Jersey) affected the Company’s margin in those states.  Also, unanticipated delays in ERCOT’s readiness for the Texas pilot program negatively impacted the Company’s revenue and gross margin assumptions. </w:t>
      </w:r>
    </w:p>
    <w:p>
      <w:pPr>
        <w:pStyle w:val="Normal"/>
        <w:spacing w:before="40" w:after="0"/>
        <w:rPr/>
      </w:pPr>
      <w:r>
        <w:rPr/>
      </w:r>
    </w:p>
    <w:p>
      <w:pPr>
        <w:pStyle w:val="Normal"/>
        <w:spacing w:before="40" w:after="0"/>
        <w:rPr/>
      </w:pPr>
      <w:r>
        <w:rPr/>
        <w:t>The Company's combined volume of energy delivered to consumers in the second quarter was 125,087 MMBtu equivalents per day, four percent below previous estimates.  This represents a decrease of 46 percent over the combined daily volume of electricity and gas delivered to customers in the first quarter of 2001.  As NewPower indicated in its original second quarter outlook, the lower volumes were attributable to the seasonally mild weather common in the second quarter.</w:t>
      </w:r>
    </w:p>
    <w:p>
      <w:pPr>
        <w:pStyle w:val="Normal"/>
        <w:spacing w:before="40" w:after="0"/>
        <w:rPr/>
      </w:pPr>
      <w:r>
        <w:rPr/>
      </w:r>
    </w:p>
    <w:p>
      <w:pPr>
        <w:pStyle w:val="Normal"/>
        <w:spacing w:before="40" w:after="0"/>
        <w:rPr/>
      </w:pPr>
      <w:r>
        <w:rPr/>
        <w:t xml:space="preserve">The cost of sales for the second quarter of 2001 was $58.6 million. SG&amp;A expense was $65.0 million for the 2001 second quarter, in line with prior estimates.  SG&amp;A includes marketing expenditures, customer care costs, bad debt reserve and other general and administrative expenses.  Depreciation and amortization was $3.4 million for the quarter.  Net interest income for the quarter was $6.8 million. </w:t>
      </w:r>
    </w:p>
    <w:p>
      <w:pPr>
        <w:pStyle w:val="Normal"/>
        <w:spacing w:before="40" w:after="0"/>
        <w:rPr/>
      </w:pPr>
      <w:r>
        <w:rPr/>
      </w:r>
    </w:p>
    <w:p>
      <w:pPr>
        <w:pStyle w:val="Normal"/>
        <w:spacing w:before="40" w:after="0"/>
        <w:rPr/>
      </w:pPr>
      <w:r>
        <w:rPr/>
        <w:t xml:space="preserve">Bad debt provision in the second quarter was $700,000, and customer churn was 5.8 percent. </w:t>
      </w:r>
    </w:p>
    <w:p>
      <w:pPr>
        <w:pStyle w:val="Normal"/>
        <w:spacing w:before="40" w:after="0"/>
        <w:rPr/>
      </w:pPr>
      <w:r>
        <w:rPr/>
      </w:r>
    </w:p>
    <w:p>
      <w:pPr>
        <w:pStyle w:val="Normal"/>
        <w:spacing w:before="40" w:after="0"/>
        <w:rPr/>
      </w:pPr>
      <w:r>
        <w:rPr/>
        <w:t>As of June 30, 2001, NewPower Holdings, Inc. had $431 million in cash and cash equivalents, working capital of $212.2 million, no debt, and shareholders’ equity of $457 million.</w:t>
      </w:r>
    </w:p>
    <w:p>
      <w:pPr>
        <w:pStyle w:val="BodyText3"/>
        <w:rPr/>
      </w:pPr>
      <w:r>
        <w:rPr/>
      </w:r>
    </w:p>
    <w:p>
      <w:pPr>
        <w:pStyle w:val="Footer"/>
        <w:tabs>
          <w:tab w:val="clear" w:pos="4320"/>
          <w:tab w:val="clear" w:pos="8640"/>
        </w:tabs>
        <w:spacing w:before="40" w:after="0"/>
        <w:rPr>
          <w:b/>
          <w:sz w:val="24"/>
        </w:rPr>
      </w:pPr>
      <w:r>
        <w:rPr>
          <w:b/>
          <w:sz w:val="24"/>
        </w:rPr>
        <w:t>Outlook</w:t>
      </w:r>
    </w:p>
    <w:p>
      <w:pPr>
        <w:pStyle w:val="BodyText3"/>
        <w:rPr/>
      </w:pPr>
      <w:r>
        <w:rPr/>
        <w:t>The basic trajectory and momentum of NewPower’s business was strong in the second quarter.</w:t>
      </w:r>
    </w:p>
    <w:p>
      <w:pPr>
        <w:pStyle w:val="BodyText3"/>
        <w:numPr>
          <w:ilvl w:val="0"/>
          <w:numId w:val="3"/>
        </w:numPr>
        <w:rPr/>
      </w:pPr>
      <w:r>
        <w:rPr/>
        <w:t>To date, organic marketing has generated over 127,800 customers.</w:t>
      </w:r>
    </w:p>
    <w:p>
      <w:pPr>
        <w:pStyle w:val="BodyText3"/>
        <w:numPr>
          <w:ilvl w:val="0"/>
          <w:numId w:val="3"/>
        </w:numPr>
        <w:rPr/>
      </w:pPr>
      <w:r>
        <w:rPr/>
        <w:t>In key gas and power markets, the market share of switchers is strong; in Texas, for example, NewPower has 52 percent of all consumers who switched to a competitive provider.</w:t>
      </w:r>
    </w:p>
    <w:p>
      <w:pPr>
        <w:pStyle w:val="BodyText3"/>
        <w:numPr>
          <w:ilvl w:val="0"/>
          <w:numId w:val="3"/>
        </w:numPr>
        <w:rPr/>
      </w:pPr>
      <w:r>
        <w:rPr/>
        <w:t xml:space="preserve">The Company’s back office operations are working within service levels and cost parameters. </w:t>
      </w:r>
    </w:p>
    <w:p>
      <w:pPr>
        <w:pStyle w:val="BodyText3"/>
        <w:rPr/>
      </w:pPr>
      <w:r>
        <w:rPr/>
      </w:r>
    </w:p>
    <w:p>
      <w:pPr>
        <w:pStyle w:val="BodyText3"/>
        <w:rPr/>
      </w:pPr>
      <w:r>
        <w:rPr/>
        <w:t>NewPower expects all of these trends to continue for the rest of 2001.  However, two outside influences are driving our downward adjustment of our Q3 and Q4 numbers.</w:t>
      </w:r>
    </w:p>
    <w:p>
      <w:pPr>
        <w:pStyle w:val="BodyText3"/>
        <w:numPr>
          <w:ilvl w:val="0"/>
          <w:numId w:val="2"/>
        </w:numPr>
        <w:rPr/>
      </w:pPr>
      <w:r>
        <w:rPr/>
        <w:t>ICAP charges in PJM have become arbitrary and unfair.  Continuing the trend we saw in the second quarter, where it had a negative effect of $4 million to margin, these charges represent a reduction of $7 - $10 million to our Q3 margin and $5 - $7 million to our margin in Q4.  We are aggressively challenging these at FERC.  (Please see attachment which describes ICAP).</w:t>
      </w:r>
    </w:p>
    <w:p>
      <w:pPr>
        <w:pStyle w:val="BodyText3"/>
        <w:numPr>
          <w:ilvl w:val="0"/>
          <w:numId w:val="2"/>
        </w:numPr>
        <w:rPr/>
      </w:pPr>
      <w:r>
        <w:rPr/>
        <w:t>Continued and unexplained delays from ERCOT have placed revenue from our more than 47,000 customers at risk; particularly in the peak summer periods.  NewPower estimates this delay represents a negative impact to third quarter revenue of $20 to $25 million, and $5 to $10 million in the fourth quarter.  In addition, ERCOT delays are expected to negatively impact margin in the third quarter by $7 to $9 million, and $3 to $5 million in the fourth quarter.  We remain concerned about these delays in 2001 but expect this situation to be corrected by 2002. (Please see attachment which describes ERCOT)</w:t>
      </w:r>
    </w:p>
    <w:p>
      <w:pPr>
        <w:pStyle w:val="BodyText3"/>
        <w:rPr/>
      </w:pPr>
      <w:r>
        <w:rPr/>
      </w:r>
    </w:p>
    <w:p>
      <w:pPr>
        <w:pStyle w:val="BodyText3"/>
        <w:rPr/>
      </w:pPr>
      <w:r>
        <w:rPr/>
        <w:t xml:space="preserve">In addition to these two outside influences, our revenue target reductions result from a deliberate slowing of our rate of portfolio acquisitions to conserve cash during the second half of the year.  NewPower has strict criteria for value creation from portfolio deals.  We believe that with the state of flux in energy markets today, the near term availability of such value creating deals will slow.  </w:t>
      </w:r>
    </w:p>
    <w:p>
      <w:pPr>
        <w:pStyle w:val="BodyText3"/>
        <w:rPr/>
      </w:pPr>
      <w:r>
        <w:rPr/>
      </w:r>
    </w:p>
    <w:p>
      <w:pPr>
        <w:pStyle w:val="BodyText3"/>
        <w:rPr/>
      </w:pPr>
      <w:r>
        <w:rPr/>
        <w:t>To compensate for these extenuating events, we are taking aggressive actions to reduce G&amp;A for the rest of 2001 while at the same time accelerating our organic acquisition of customers through focused marketing.  We expect to end the year with one million customers.  These G&amp;A cuts are across the board and represent management’s desire to continue to meet its full-year earnings targets. Accordingly, we are re-affirming our expectation of the full year net loss at between $210 to 215 million.</w:t>
      </w:r>
    </w:p>
    <w:p>
      <w:pPr>
        <w:pStyle w:val="Normal"/>
        <w:spacing w:before="40" w:after="0"/>
        <w:rPr/>
      </w:pPr>
      <w:r>
        <w:rPr/>
      </w:r>
    </w:p>
    <w:p>
      <w:pPr>
        <w:pStyle w:val="Normal"/>
        <w:spacing w:before="40" w:after="0"/>
        <w:rPr/>
      </w:pPr>
      <w:r>
        <w:rPr/>
        <w:t>“</w:t>
      </w:r>
      <w:r>
        <w:rPr/>
        <w:t>There are many bumps in the road to a competitive energy marketplace, and I endorse the actions being taken by NewPower management to deal with them” said Ken Lay, Chairman of the Board of Enron and NewPower board member since January 2000.  “I continue to be enthusiastic about NewPower’s ability to offer consumers better energy prices and services, and support efforts to remove obstacles to competition.  I believe the Texas market will come right by 2002 and that energy deregulation in several key regions will continue to progress.”</w:t>
      </w:r>
    </w:p>
    <w:p>
      <w:pPr>
        <w:pStyle w:val="Normal"/>
        <w:spacing w:before="40" w:after="0"/>
        <w:rPr/>
      </w:pPr>
      <w:r>
        <w:rPr/>
      </w:r>
    </w:p>
    <w:p>
      <w:pPr>
        <w:pStyle w:val="Normal"/>
        <w:rPr/>
      </w:pPr>
      <w:r>
        <w:rPr/>
        <w:t xml:space="preserve">Net revenues for the year should be between $420 and $440 million.  The Company expects to deliver approximately 190,000 MMBtu equivalents per day of electricity and natural gas to its customers in 2001.  NewPower anticipates the net EPS loss for 2001 to be between $3.61 and $3.70, based on 58,161,050 weighted average basic and diluted shares outstanding. The 2001 gross margin is estimated to be breakeven.  Total operating costs for 2001 should be between $235 and $240 million.  Depreciation and amortization, a component of operating costs are expected to be approximately $20 million.  The Company's estimate of its year-end cash position is between $250 and $260 million. </w:t>
      </w:r>
    </w:p>
    <w:p>
      <w:pPr>
        <w:pStyle w:val="Normal"/>
        <w:rPr/>
      </w:pPr>
      <w:r>
        <w:rPr/>
      </w:r>
    </w:p>
    <w:p>
      <w:pPr>
        <w:pStyle w:val="Normal"/>
        <w:rPr/>
      </w:pPr>
      <w:r>
        <w:rPr/>
        <w:t xml:space="preserve">For the third quarter of 2001, NewPower expects net revenues to be between $60 and $65 million.  The gross margin loss should be between $23 and $28 million.  SG&amp;A is expected to be between $43 and $48 million.  The Company is forecasting a net loss for the 2001 third quarter of $65 to $70 million or $1.12 to $1.20 per weighted average basic and diluted share.  The New Power Company expects to deliver approximately 117,000 MMBtu equivalents per day of energy to its customers in the third quarter. </w:t>
      </w:r>
    </w:p>
    <w:p>
      <w:pPr>
        <w:pStyle w:val="Normal"/>
        <w:rPr/>
      </w:pPr>
      <w:r>
        <w:rPr/>
      </w:r>
    </w:p>
    <w:p>
      <w:pPr>
        <w:pStyle w:val="Normal"/>
        <w:rPr/>
      </w:pPr>
      <w:r>
        <w:rPr/>
        <w:t>For the fourth quarter of 2001, NewPower expects net revenues to be between $170 and $180 million.  The gross margin should be between $8 and $12 million.  SG&amp;A is expected to be between $44 and $49 million.  The Company is forecasting a net loss for the 2001 fourth quarter of $41 to $46 million or $0.71 to $0.79 per weighted average basic and diluted share.  The New Power Company expects to deliver approximately 295,000 MMBtu equivalents per day of energy to its customers in the fourth quarter.</w:t>
      </w:r>
    </w:p>
    <w:p>
      <w:pPr>
        <w:pStyle w:val="Normal"/>
        <w:rPr/>
      </w:pPr>
      <w:r>
        <w:rPr/>
      </w:r>
    </w:p>
    <w:p>
      <w:pPr>
        <w:pStyle w:val="Normal"/>
        <w:rPr/>
      </w:pPr>
      <w:r>
        <w:rPr/>
        <w:t xml:space="preserve">The Company reported that it has received a preliminary commitment for a receivables financing program with an initial transaction size of between $75 and $100 million.  NewPower will utilize the financial flexibility of its receivables program as working capital and inventory financing to achieve customer growth targets, thereby confirming its business plan remains on target.  </w:t>
      </w:r>
    </w:p>
    <w:p>
      <w:pPr>
        <w:pStyle w:val="Normal"/>
        <w:rPr/>
      </w:pPr>
      <w:r>
        <w:rPr/>
      </w:r>
    </w:p>
    <w:p>
      <w:pPr>
        <w:pStyle w:val="Normal"/>
        <w:rPr/>
      </w:pPr>
      <w:r>
        <w:rPr/>
        <w:t>“</w:t>
      </w:r>
      <w:r>
        <w:rPr/>
        <w:t>With the current conditions in key markets, we believe it is prudent to revise our estimates for the year,” said Mr. Lockhart.  “NewPower is and will continue to be the industry leader in providing energy to customers and businesses that exercise choice in restructured energy markets.  The implementation of restructuring has had, and will continue to have hurdles to overcome, but we’re confident that with our scale and expertise, we will overcome these hurdles and secure the opportunities for NewPower and its shareholders.  We remain committed to our business plan.”</w:t>
      </w:r>
    </w:p>
    <w:p>
      <w:pPr>
        <w:pStyle w:val="Normal"/>
        <w:rPr/>
      </w:pPr>
      <w:r>
        <w:rPr/>
      </w:r>
    </w:p>
    <w:p>
      <w:pPr>
        <w:pStyle w:val="Footer"/>
        <w:tabs>
          <w:tab w:val="clear" w:pos="4320"/>
          <w:tab w:val="clear" w:pos="8640"/>
        </w:tabs>
        <w:spacing w:before="40" w:after="0"/>
        <w:rPr>
          <w:sz w:val="24"/>
        </w:rPr>
      </w:pPr>
      <w:r>
        <w:rPr>
          <w:b/>
          <w:i/>
          <w:sz w:val="24"/>
        </w:rPr>
        <w:t>Webcast</w:t>
      </w:r>
    </w:p>
    <w:p>
      <w:pPr>
        <w:pStyle w:val="Footer"/>
        <w:tabs>
          <w:tab w:val="clear" w:pos="4320"/>
          <w:tab w:val="clear" w:pos="8640"/>
        </w:tabs>
        <w:spacing w:before="40" w:after="0"/>
        <w:rPr/>
      </w:pPr>
      <w:r>
        <w:rPr>
          <w:sz w:val="24"/>
        </w:rPr>
        <w:t xml:space="preserve">A simultaneous webcast and slide presentation of the Company’s conference call discussing the second quarter results and forward outlook is available on the Company’s website at </w:t>
      </w:r>
      <w:r>
        <w:rPr>
          <w:sz w:val="24"/>
          <w:u w:val="single"/>
        </w:rPr>
        <w:t>www.newpower.com</w:t>
      </w:r>
      <w:r>
        <w:rPr>
          <w:sz w:val="24"/>
        </w:rPr>
        <w:t xml:space="preserve"> under investor relations and begins today at 10:00 a.m. EST.  The webcast will be archived on the company’s website.</w:t>
      </w:r>
    </w:p>
    <w:p>
      <w:pPr>
        <w:pStyle w:val="Footer"/>
        <w:tabs>
          <w:tab w:val="clear" w:pos="4320"/>
          <w:tab w:val="clear" w:pos="8640"/>
        </w:tabs>
        <w:spacing w:before="40" w:after="0"/>
        <w:jc w:val="center"/>
        <w:rPr>
          <w:b/>
          <w:sz w:val="24"/>
        </w:rPr>
      </w:pPr>
      <w:r>
        <w:rPr>
          <w:b/>
          <w:sz w:val="24"/>
        </w:rPr>
      </w:r>
    </w:p>
    <w:p>
      <w:pPr>
        <w:pStyle w:val="Footer"/>
        <w:tabs>
          <w:tab w:val="clear" w:pos="4320"/>
          <w:tab w:val="clear" w:pos="8640"/>
        </w:tabs>
        <w:spacing w:before="40" w:after="0"/>
        <w:rPr>
          <w:sz w:val="24"/>
        </w:rPr>
      </w:pPr>
      <w:r>
        <w:rPr>
          <w:b/>
          <w:i/>
          <w:sz w:val="24"/>
        </w:rPr>
        <w:t>Cautionary Statement</w:t>
      </w:r>
    </w:p>
    <w:p>
      <w:pPr>
        <w:pStyle w:val="BodyText"/>
        <w:jc w:val="start"/>
        <w:rPr>
          <w:rFonts w:ascii="Times New Roman" w:hAnsi="Times New Roman" w:cs="Times New Roman"/>
          <w:sz w:val="24"/>
        </w:rPr>
      </w:pPr>
      <w:r>
        <w:rPr>
          <w:rFonts w:cs="Times New Roman" w:ascii="Times New Roman" w:hAnsi="Times New Roman"/>
          <w:sz w:val="24"/>
        </w:rPr>
        <w:t>This press release contains certain forward-looking statements within the meaning of the Private Securities Litigation Reform Act of 1995, Section 27A of the Securities Act of 1933, and Section 21E of the Securities Exchange Act of 1934.  These statements involve risks and uncertainties and may differ materially from actual future events or results.  Although we believe that our expectations are based on reasonable assumptions, we can give no assurance that our goals will be achieved.  The Company undertakes no obligation to publicly release any revisions to these forward-looking statements to reflect events or circumstances after the date hereof or to reflect the occurrence of unanticipated events.  Important factors that could cause actual results to differ from estimates or projections contained in the forward-looking statements include our limited operating history; delays or changes in the rules for the restructuring of the electric and natural gas markets; our ability to attract and retain customers; our ability to manage our energy requirements and sell energy at a sufficient margin given the volatility in prices for electricity and natural gas; and our dependence on third parties to provide critical functions to us and to our customers.  Readers are referred to the Company’s Annual Report on Form 10-K for the year ending December 31, 2000 and our Form S-1 on file with the Securities and Exchange Commission for a discussion of factors that could cause actual results to differ materially from these forward-looking statements.</w:t>
      </w:r>
    </w:p>
    <w:p>
      <w:pPr>
        <w:pStyle w:val="Footer"/>
        <w:tabs>
          <w:tab w:val="clear" w:pos="4320"/>
          <w:tab w:val="clear" w:pos="8640"/>
        </w:tabs>
        <w:spacing w:before="40" w:after="0"/>
        <w:rPr>
          <w:rFonts w:ascii="Times New Roman" w:hAnsi="Times New Roman" w:cs="Times New Roman"/>
          <w:sz w:val="24"/>
        </w:rPr>
      </w:pPr>
      <w:r>
        <w:rPr>
          <w:rFonts w:cs="Times New Roman"/>
          <w:sz w:val="24"/>
        </w:rPr>
      </w:r>
    </w:p>
    <w:p>
      <w:pPr>
        <w:pStyle w:val="Footer"/>
        <w:tabs>
          <w:tab w:val="clear" w:pos="4320"/>
          <w:tab w:val="clear" w:pos="8640"/>
        </w:tabs>
        <w:spacing w:before="40" w:after="0"/>
        <w:rPr>
          <w:sz w:val="24"/>
        </w:rPr>
      </w:pPr>
      <w:r>
        <w:rPr>
          <w:b/>
          <w:sz w:val="24"/>
        </w:rPr>
        <w:t>About NewPower Holdings, Inc.</w:t>
      </w:r>
    </w:p>
    <w:p>
      <w:pPr>
        <w:pStyle w:val="BodyText"/>
        <w:spacing w:before="40" w:after="0"/>
        <w:jc w:val="start"/>
        <w:rPr>
          <w:rFonts w:ascii="Times New Roman" w:hAnsi="Times New Roman" w:cs="Times New Roman"/>
          <w:i/>
          <w:i/>
          <w:sz w:val="24"/>
        </w:rPr>
      </w:pPr>
      <w:r>
        <w:rPr>
          <w:rFonts w:cs="Times New Roman" w:ascii="Times New Roman" w:hAnsi="Times New Roman"/>
          <w:i/>
          <w:sz w:val="24"/>
        </w:rPr>
        <w:t>NewPower Holdings, Inc. (NYSE: NPW), through its subsidiary, The New Power Company, is the first national provider of electricity and natural gas to residential and small commercial customers in the United States. The Company offers consumers in restructured retail energy markets competitive energy prices, pricing choices, improved customer service and other innovative products, services and incentives.</w:t>
      </w:r>
    </w:p>
    <w:p>
      <w:pPr>
        <w:pStyle w:val="BodyText"/>
        <w:spacing w:before="40" w:after="0"/>
        <w:jc w:val="start"/>
        <w:rPr>
          <w:rFonts w:ascii="Times New Roman" w:hAnsi="Times New Roman" w:cs="Times New Roman"/>
          <w:i/>
          <w:i/>
          <w:sz w:val="24"/>
        </w:rPr>
      </w:pPr>
      <w:r>
        <w:rPr>
          <w:rFonts w:cs="Times New Roman" w:ascii="Times New Roman" w:hAnsi="Times New Roman"/>
          <w:i/>
          <w:sz w:val="24"/>
        </w:rPr>
      </w:r>
    </w:p>
    <w:p>
      <w:pPr>
        <w:pStyle w:val="Heading4"/>
        <w:tabs>
          <w:tab w:val="clear" w:pos="5130"/>
          <w:tab w:val="left" w:pos="6480" w:leader="none"/>
        </w:tabs>
        <w:ind w:hanging="0" w:start="0"/>
        <w:rPr>
          <w:rFonts w:ascii="Times New Roman" w:hAnsi="Times New Roman" w:cs="Times New Roman"/>
        </w:rPr>
      </w:pPr>
      <w:r>
        <w:rPr>
          <w:rFonts w:cs="Times New Roman" w:ascii="Times New Roman" w:hAnsi="Times New Roman"/>
        </w:rPr>
        <w:t>Investors</w:t>
        <w:tab/>
        <w:t>Media</w:t>
      </w:r>
    </w:p>
    <w:p>
      <w:pPr>
        <w:pStyle w:val="Header"/>
        <w:tabs>
          <w:tab w:val="clear" w:pos="4320"/>
          <w:tab w:val="clear" w:pos="8640"/>
          <w:tab w:val="left" w:pos="6480" w:leader="none"/>
        </w:tabs>
        <w:rPr>
          <w:sz w:val="20"/>
        </w:rPr>
      </w:pPr>
      <w:r>
        <w:rPr>
          <w:sz w:val="20"/>
        </w:rPr>
        <w:t>Patrick McCoy</w:t>
        <w:tab/>
        <w:t>Gael Doar</w:t>
      </w:r>
    </w:p>
    <w:p>
      <w:pPr>
        <w:pStyle w:val="Footer"/>
        <w:tabs>
          <w:tab w:val="clear" w:pos="4320"/>
          <w:tab w:val="clear" w:pos="8640"/>
          <w:tab w:val="left" w:pos="6480" w:leader="none"/>
        </w:tabs>
        <w:rPr/>
      </w:pPr>
      <w:r>
        <w:rPr/>
        <w:t>Manager, Investor Relations</w:t>
        <w:tab/>
        <w:t>Director of Communications</w:t>
      </w:r>
    </w:p>
    <w:p>
      <w:pPr>
        <w:pStyle w:val="Footer"/>
        <w:tabs>
          <w:tab w:val="clear" w:pos="4320"/>
          <w:tab w:val="clear" w:pos="8640"/>
          <w:tab w:val="left" w:pos="6480" w:leader="none"/>
        </w:tabs>
        <w:rPr/>
      </w:pPr>
      <w:r>
        <w:rPr/>
        <w:t>pmccoy@newpower.com</w:t>
        <w:tab/>
        <w:t>gdoar@newpower.com</w:t>
      </w:r>
    </w:p>
    <w:p>
      <w:pPr>
        <w:pStyle w:val="Header"/>
        <w:tabs>
          <w:tab w:val="clear" w:pos="4320"/>
          <w:tab w:val="clear" w:pos="8640"/>
          <w:tab w:val="left" w:pos="6480" w:leader="none"/>
        </w:tabs>
        <w:rPr>
          <w:sz w:val="20"/>
        </w:rPr>
      </w:pPr>
      <w:r>
        <w:rPr>
          <w:sz w:val="20"/>
        </w:rPr>
        <w:t>(914) 697-2431</w:t>
        <w:tab/>
        <w:t>(914) 697-2451</w:t>
      </w:r>
    </w:p>
    <w:p>
      <w:pPr>
        <w:pStyle w:val="Header"/>
        <w:tabs>
          <w:tab w:val="clear" w:pos="4320"/>
          <w:tab w:val="clear" w:pos="8640"/>
          <w:tab w:val="left" w:pos="6480" w:leader="none"/>
        </w:tabs>
        <w:rPr>
          <w:sz w:val="20"/>
        </w:rPr>
      </w:pPr>
      <w:r>
        <w:rPr>
          <w:sz w:val="20"/>
        </w:rPr>
      </w:r>
    </w:p>
    <w:p>
      <w:pPr>
        <w:pStyle w:val="Header"/>
        <w:tabs>
          <w:tab w:val="clear" w:pos="4320"/>
          <w:tab w:val="clear" w:pos="8640"/>
          <w:tab w:val="left" w:pos="6480" w:leader="none"/>
        </w:tabs>
        <w:rPr>
          <w:sz w:val="20"/>
        </w:rPr>
      </w:pPr>
      <w:r>
        <w:rPr>
          <w:sz w:val="20"/>
        </w:rPr>
      </w:r>
    </w:p>
    <w:p>
      <w:pPr>
        <w:pStyle w:val="Normal"/>
        <w:spacing w:before="40" w:after="0"/>
        <w:jc w:val="center"/>
        <w:rPr>
          <w:b/>
        </w:rPr>
      </w:pPr>
      <w:r>
        <w:rPr>
          <w:b/>
        </w:rPr>
        <w:t>[Financial Tables Follow]</w:t>
      </w:r>
    </w:p>
    <w:p>
      <w:pPr>
        <w:pStyle w:val="Header"/>
        <w:tabs>
          <w:tab w:val="clear" w:pos="4320"/>
          <w:tab w:val="clear" w:pos="8640"/>
          <w:tab w:val="left" w:pos="6480" w:leader="none"/>
        </w:tabs>
        <w:rPr>
          <w:b/>
          <w:sz w:val="20"/>
        </w:rPr>
      </w:pPr>
      <w:r>
        <w:rPr>
          <w:b/>
          <w:sz w:val="20"/>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rPr/>
    </w:pPr>
    <w:r>
      <w:rPr>
        <w:b/>
        <w:sz w:val="16"/>
      </w:rPr>
      <w:t>NewPower Holdings, Inc.</w:t>
      <w:tab/>
      <w:tab/>
      <w:t xml:space="preserve">Page </w:t>
    </w:r>
    <w:r>
      <w:rPr>
        <w:b/>
        <w:sz w:val="16"/>
      </w:rPr>
      <w:fldChar w:fldCharType="begin"/>
    </w:r>
    <w:r>
      <w:rPr>
        <w:sz w:val="16"/>
        <w:b/>
      </w:rPr>
      <w:instrText xml:space="preserve"> PAGE </w:instrText>
    </w:r>
    <w:r>
      <w:rPr>
        <w:sz w:val="16"/>
        <w:b/>
      </w:rPr>
      <w:fldChar w:fldCharType="separate"/>
    </w:r>
    <w:r>
      <w:rPr>
        <w:sz w:val="16"/>
        <w:b/>
      </w:rPr>
      <w:t>4</w:t>
    </w:r>
    <w:r>
      <w:rPr>
        <w:sz w:val="16"/>
        <w:b/>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FF0000"/>
        <w:sz w:val="20"/>
      </w:rPr>
    </w:pPr>
    <w:r>
      <w:rPr>
        <w:b/>
        <w:color w:val="FF0000"/>
        <w:sz w:val="20"/>
      </w:rPr>
      <w:t>CONFIDENTIAL – INTERNAL USE ONLY</w:t>
    </w:r>
  </w:p>
  <w:p>
    <w:pPr>
      <w:pStyle w:val="Header"/>
      <w:jc w:val="center"/>
      <w:rPr/>
    </w:pPr>
    <w:r>
      <w:rPr>
        <w:b/>
        <w:color w:val="FF0000"/>
        <w:sz w:val="20"/>
      </w:rPr>
      <w:t xml:space="preserve">DRAFT AS OF </w:t>
    </w:r>
    <w:r>
      <w:rPr>
        <w:b/>
        <w:color w:val="FF0000"/>
        <w:sz w:val="20"/>
      </w:rPr>
      <w:fldChar w:fldCharType="begin"/>
    </w:r>
    <w:r>
      <w:rPr>
        <w:sz w:val="20"/>
        <w:b/>
        <w:color w:val="FF0000"/>
      </w:rPr>
      <w:instrText xml:space="preserve"> DATE \@"M\/d\/yy\ H:mm:ss\ AM/PM" </w:instrText>
    </w:r>
    <w:r>
      <w:rPr>
        <w:sz w:val="20"/>
        <w:b/>
        <w:color w:val="FF0000"/>
      </w:rPr>
      <w:fldChar w:fldCharType="separate"/>
    </w:r>
    <w:r>
      <w:rPr>
        <w:sz w:val="20"/>
        <w:b/>
        <w:color w:val="FF0000"/>
      </w:rPr>
      <w:t>9/28/25 8:58:52 AM</w:t>
    </w:r>
    <w:r>
      <w:rPr>
        <w:sz w:val="20"/>
        <w:b/>
        <w:color w:val="FF0000"/>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Liberation Serif" w:hAnsi="Liberation Serif" w:cs="Liberation Serif" w:hint="default"/>
      </w:rPr>
    </w:lvl>
  </w:abstractNum>
  <w:abstractNum w:abstractNumId="3">
    <w:lvl w:ilvl="0">
      <w:numFmt w:val="bullet"/>
      <w:lvlText w:val="–"/>
      <w:lvlJc w:val="start"/>
      <w:pPr>
        <w:tabs>
          <w:tab w:val="num" w:pos="360"/>
        </w:tabs>
        <w:ind w:start="360" w:hanging="360"/>
      </w:pPr>
      <w:rPr>
        <w:rFonts w:ascii="Liberation Serif" w:hAnsi="Liberation Serif" w:cs="Liberation Serif"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numFmt w:val="bullet"/>
      <w:lvlText w:val="–"/>
      <w:lvlJc w:val="start"/>
      <w:pPr>
        <w:tabs>
          <w:tab w:val="num" w:pos="360"/>
        </w:tabs>
        <w:ind w:start="360" w:hanging="360"/>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sz w:val="28"/>
      <w:szCs w:val="20"/>
    </w:rPr>
  </w:style>
  <w:style w:type="paragraph" w:styleId="Heading2">
    <w:name w:val="heading 2"/>
    <w:basedOn w:val="Normal"/>
    <w:next w:val="Normal"/>
    <w:qFormat/>
    <w:pPr>
      <w:keepNext w:val="true"/>
      <w:numPr>
        <w:ilvl w:val="1"/>
        <w:numId w:val="1"/>
      </w:numPr>
      <w:outlineLvl w:val="1"/>
    </w:pPr>
    <w:rPr>
      <w:b/>
      <w:bCs/>
      <w:color w:val="FF0000"/>
    </w:rPr>
  </w:style>
  <w:style w:type="paragraph" w:styleId="Heading3">
    <w:name w:val="heading 3"/>
    <w:basedOn w:val="Normal"/>
    <w:next w:val="Normal"/>
    <w:qFormat/>
    <w:pPr>
      <w:keepNext w:val="true"/>
      <w:numPr>
        <w:ilvl w:val="2"/>
        <w:numId w:val="1"/>
      </w:numPr>
      <w:spacing w:lineRule="auto" w:line="360"/>
      <w:outlineLvl w:val="2"/>
    </w:pPr>
    <w:rPr>
      <w:rFonts w:ascii="Arial" w:hAnsi="Arial" w:cs="Arial"/>
      <w:b/>
      <w:sz w:val="22"/>
      <w:szCs w:val="20"/>
    </w:rPr>
  </w:style>
  <w:style w:type="paragraph" w:styleId="Heading4">
    <w:name w:val="heading 4"/>
    <w:basedOn w:val="Normal"/>
    <w:next w:val="Normal"/>
    <w:qFormat/>
    <w:pPr>
      <w:keepNext w:val="true"/>
      <w:numPr>
        <w:ilvl w:val="3"/>
        <w:numId w:val="1"/>
      </w:numPr>
      <w:tabs>
        <w:tab w:val="clear" w:pos="720"/>
        <w:tab w:val="left" w:pos="5130" w:leader="none"/>
      </w:tabs>
      <w:outlineLvl w:val="3"/>
    </w:pPr>
    <w:rPr>
      <w:rFonts w:ascii="Arial" w:hAnsi="Arial" w:eastAsia="²Ó©úÅé" w:cs="Arial"/>
      <w:b/>
      <w:sz w:val="20"/>
      <w:szCs w:val="20"/>
    </w:rPr>
  </w:style>
  <w:style w:type="paragraph" w:styleId="Heading6">
    <w:name w:val="heading 6"/>
    <w:basedOn w:val="Normal"/>
    <w:next w:val="Normal"/>
    <w:qFormat/>
    <w:pPr>
      <w:keepNext w:val="true"/>
      <w:numPr>
        <w:ilvl w:val="5"/>
        <w:numId w:val="1"/>
      </w:numPr>
      <w:spacing w:before="40" w:after="0"/>
      <w:outlineLvl w:val="5"/>
    </w:pPr>
    <w:rPr>
      <w:b/>
      <w:color w:val="FF0000"/>
      <w:sz w:val="28"/>
      <w:szCs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Cs w:val="20"/>
    </w:rPr>
  </w:style>
  <w:style w:type="paragraph" w:styleId="Footer">
    <w:name w:val="footer"/>
    <w:basedOn w:val="Normal"/>
    <w:pPr>
      <w:tabs>
        <w:tab w:val="clear" w:pos="720"/>
        <w:tab w:val="center" w:pos="4320" w:leader="none"/>
        <w:tab w:val="right" w:pos="8640" w:leader="none"/>
      </w:tabs>
    </w:pPr>
    <w:rPr>
      <w:sz w:val="20"/>
      <w:szCs w:val="20"/>
    </w:rPr>
  </w:style>
  <w:style w:type="paragraph" w:styleId="FootnoteText">
    <w:name w:val="footnote text"/>
    <w:basedOn w:val="Normal"/>
    <w:pPr/>
    <w:rPr>
      <w:sz w:val="20"/>
      <w:szCs w:val="20"/>
    </w:rPr>
  </w:style>
  <w:style w:type="paragraph" w:styleId="BodyText3">
    <w:name w:val="Body Text 3"/>
    <w:basedOn w:val="Normal"/>
    <w:qFormat/>
    <w:pPr>
      <w:spacing w:before="40" w:after="0"/>
    </w:pPr>
    <w:rPr>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2001-07-17T13:40:00Z</dcterms:created>
  <dc:creator>Patrick McCoy</dc:creator>
  <dc:description/>
  <dc:language>en-CA</dc:language>
  <cp:lastModifiedBy>gael doar</cp:lastModifiedBy>
  <cp:lastPrinted>2001-08-06T19:03:00Z</cp:lastPrinted>
  <dcterms:modified xsi:type="dcterms:W3CDTF">2001-08-06T20:34:00Z</dcterms:modified>
  <cp:revision>69</cp:revision>
  <dc:subject/>
  <dc:title>NPW Q1 2001 Earnings Release</dc:title>
</cp:coreProperties>
</file>