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40" w:after="60"/>
        <w:ind w:hanging="0" w:start="0"/>
        <w:rPr>
          <w:rFonts w:ascii="Times New Roman" w:hAnsi="Times New Roman" w:cs="Times New Roman"/>
          <w:i w:val="false"/>
          <w:i w:val="false"/>
          <w:sz w:val="32"/>
          <w:lang w:val="en-GB"/>
        </w:rPr>
      </w:pPr>
      <w:r>
        <w:rPr>
          <w:rFonts w:cs="Times New Roman" w:ascii="Times New Roman" w:hAnsi="Times New Roman"/>
          <w:i w:val="false"/>
          <w:sz w:val="32"/>
          <w:lang w:val="en-GB"/>
        </w:rPr>
        <w:t>EU legislation in force and under preparation</w:t>
      </w:r>
    </w:p>
    <w:p>
      <w:pPr>
        <w:pStyle w:val="BodyText"/>
        <w:rPr>
          <w:rFonts w:ascii="Times New Roman" w:hAnsi="Times New Roman" w:cs="Times New Roman"/>
          <w:i/>
          <w:i/>
          <w:sz w:val="32"/>
          <w:lang w:val="en-GB"/>
        </w:rPr>
      </w:pPr>
      <w:r>
        <w:rPr>
          <w:rFonts w:cs="Times New Roman"/>
          <w:i/>
          <w:sz w:val="32"/>
          <w:lang w:val="en-GB"/>
        </w:rPr>
      </w:r>
    </w:p>
    <w:p>
      <w:pPr>
        <w:pStyle w:val="BodyText"/>
        <w:rPr>
          <w:b/>
          <w:sz w:val="28"/>
          <w:u w:val="single"/>
        </w:rPr>
      </w:pPr>
      <w:r>
        <w:rPr>
          <w:b/>
          <w:sz w:val="28"/>
          <w:u w:val="single"/>
        </w:rPr>
        <w:t xml:space="preserve">Directive on the limitation of emissions of certain pollutants into the air from large combustion plants (88/609/EEC). </w:t>
      </w:r>
    </w:p>
    <w:p>
      <w:pPr>
        <w:pStyle w:val="BodyText"/>
        <w:rPr>
          <w:b/>
          <w:sz w:val="28"/>
          <w:u w:val="single"/>
        </w:rPr>
      </w:pPr>
      <w:r>
        <w:rPr>
          <w:b/>
          <w:sz w:val="28"/>
          <w:u w:val="single"/>
        </w:rPr>
      </w:r>
    </w:p>
    <w:p>
      <w:pPr>
        <w:pStyle w:val="BodyText"/>
        <w:rPr/>
      </w:pPr>
      <w:r>
        <w:rPr/>
        <w:t>NB: As discussed below, the Directive is currently being amended and due to differences between Parliament and Council agreement on the text to be adopted is not expected before June 2001.</w:t>
      </w:r>
    </w:p>
    <w:p>
      <w:pPr>
        <w:pStyle w:val="BodyText"/>
        <w:rPr/>
      </w:pPr>
      <w:r>
        <w:rPr/>
      </w:r>
      <w:bookmarkStart w:id="0" w:name="bkEnd"/>
      <w:bookmarkStart w:id="1" w:name="bkEnd"/>
      <w:bookmarkEnd w:id="1"/>
    </w:p>
    <w:p>
      <w:pPr>
        <w:pStyle w:val="BodyText"/>
        <w:rPr/>
      </w:pPr>
      <w:r>
        <w:rPr/>
        <w:t>The Directive provided for a three-phase reduction (1993, 1998, and 2003) in total SO</w:t>
      </w:r>
      <w:r>
        <w:rPr>
          <w:vertAlign w:val="subscript"/>
        </w:rPr>
        <w:t>2</w:t>
      </w:r>
      <w:r>
        <w:rPr/>
        <w:t xml:space="preserve"> emissions from existing plants, a two-phase reduction (1993 and 1998) in total emissions of NOx from existing plants plus Community emission limit values for SO</w:t>
      </w:r>
      <w:r>
        <w:rPr>
          <w:vertAlign w:val="subscript"/>
        </w:rPr>
        <w:t>2</w:t>
      </w:r>
      <w:r>
        <w:rPr/>
        <w:t xml:space="preserve">, NOx and dust from new plants. </w:t>
      </w:r>
    </w:p>
    <w:p>
      <w:pPr>
        <w:pStyle w:val="Normal"/>
        <w:rPr>
          <w:sz w:val="24"/>
        </w:rPr>
      </w:pPr>
      <w:r>
        <w:rPr>
          <w:sz w:val="24"/>
        </w:rPr>
      </w:r>
    </w:p>
    <w:p>
      <w:pPr>
        <w:pStyle w:val="Normal"/>
        <w:rPr>
          <w:sz w:val="24"/>
        </w:rPr>
      </w:pPr>
      <w:r>
        <w:rPr>
          <w:sz w:val="24"/>
        </w:rPr>
        <w:t>The Directive applies to combustion plants, the rated thermal input of which is equal to or greater than 50 MW irrespective of the type of fuel used (solid, liquid or gaseous). It applies only to combustion plants designed for production of energy with the exception of those which make direct use of the products of combustion in manufacture processes. Main provisions:</w:t>
      </w:r>
    </w:p>
    <w:p>
      <w:pPr>
        <w:pStyle w:val="Normal"/>
        <w:numPr>
          <w:ilvl w:val="0"/>
          <w:numId w:val="8"/>
        </w:numPr>
        <w:rPr>
          <w:sz w:val="24"/>
        </w:rPr>
      </w:pPr>
      <w:r>
        <w:rPr>
          <w:sz w:val="24"/>
        </w:rPr>
        <w:t>Member States are to draw up appropriate programmes for the progressive reduction of total annual emissions from existing plants complying with the limits</w:t>
      </w:r>
      <w:r>
        <w:rPr>
          <w:rStyle w:val="FootnoteCharacters"/>
          <w:rStyle w:val="FootnoteReference"/>
          <w:sz w:val="24"/>
        </w:rPr>
        <w:footnoteReference w:id="2"/>
      </w:r>
      <w:r>
        <w:rPr>
          <w:sz w:val="24"/>
        </w:rPr>
        <w:t xml:space="preserve"> set in the annexes to the Directive;</w:t>
      </w:r>
    </w:p>
    <w:p>
      <w:pPr>
        <w:pStyle w:val="Normal"/>
        <w:numPr>
          <w:ilvl w:val="0"/>
          <w:numId w:val="3"/>
        </w:numPr>
        <w:rPr>
          <w:sz w:val="24"/>
        </w:rPr>
      </w:pPr>
      <w:r>
        <w:rPr>
          <w:sz w:val="24"/>
        </w:rPr>
        <w:t>The Licences for the construction of, or operation of new plants will lay down provisions:</w:t>
      </w:r>
    </w:p>
    <w:p>
      <w:pPr>
        <w:pStyle w:val="Normal"/>
        <w:numPr>
          <w:ilvl w:val="0"/>
          <w:numId w:val="13"/>
        </w:numPr>
        <w:tabs>
          <w:tab w:val="left" w:pos="720" w:leader="none"/>
        </w:tabs>
        <w:rPr>
          <w:sz w:val="24"/>
        </w:rPr>
      </w:pPr>
      <w:r>
        <w:rPr>
          <w:sz w:val="24"/>
        </w:rPr>
        <w:t>To comply with the emission limit values fixed in the annexes;</w:t>
      </w:r>
    </w:p>
    <w:p>
      <w:pPr>
        <w:pStyle w:val="Normal"/>
        <w:numPr>
          <w:ilvl w:val="0"/>
          <w:numId w:val="7"/>
        </w:numPr>
        <w:tabs>
          <w:tab w:val="left" w:pos="720" w:leader="none"/>
        </w:tabs>
        <w:rPr>
          <w:sz w:val="24"/>
        </w:rPr>
      </w:pPr>
      <w:r>
        <w:rPr>
          <w:sz w:val="24"/>
        </w:rPr>
        <w:t>For procedures relating to malfunctioning or breakdown of abatement equipment;</w:t>
      </w:r>
    </w:p>
    <w:p>
      <w:pPr>
        <w:pStyle w:val="Normal"/>
        <w:numPr>
          <w:ilvl w:val="0"/>
          <w:numId w:val="5"/>
        </w:numPr>
        <w:tabs>
          <w:tab w:val="left" w:pos="720" w:leader="none"/>
        </w:tabs>
        <w:rPr>
          <w:sz w:val="24"/>
        </w:rPr>
      </w:pPr>
      <w:r>
        <w:rPr>
          <w:sz w:val="24"/>
        </w:rPr>
        <w:t>To discharge waste gases;</w:t>
      </w:r>
    </w:p>
    <w:p>
      <w:pPr>
        <w:pStyle w:val="Normal"/>
        <w:numPr>
          <w:ilvl w:val="0"/>
          <w:numId w:val="5"/>
        </w:numPr>
        <w:tabs>
          <w:tab w:val="left" w:pos="720" w:leader="none"/>
        </w:tabs>
        <w:rPr>
          <w:sz w:val="24"/>
        </w:rPr>
      </w:pPr>
      <w:r>
        <w:rPr>
          <w:sz w:val="24"/>
        </w:rPr>
        <w:t>For design specifications to comply with the emission limit values for NOx;</w:t>
      </w:r>
    </w:p>
    <w:p>
      <w:pPr>
        <w:pStyle w:val="Normal"/>
        <w:numPr>
          <w:ilvl w:val="0"/>
          <w:numId w:val="5"/>
        </w:numPr>
        <w:tabs>
          <w:tab w:val="left" w:pos="720" w:leader="none"/>
        </w:tabs>
        <w:rPr>
          <w:sz w:val="24"/>
        </w:rPr>
      </w:pPr>
      <w:r>
        <w:rPr>
          <w:sz w:val="24"/>
        </w:rPr>
        <w:t>For authorities to set up the emission limit values differently for a multi-firing unit involving the simultaneous use of two or more fuels or for multi-firing units using the distillations and conversion residues from crude-oil refining for own consumption;</w:t>
      </w:r>
    </w:p>
    <w:p>
      <w:pPr>
        <w:pStyle w:val="Normal"/>
        <w:numPr>
          <w:ilvl w:val="0"/>
          <w:numId w:val="12"/>
        </w:numPr>
        <w:rPr>
          <w:sz w:val="24"/>
        </w:rPr>
      </w:pPr>
      <w:r>
        <w:rPr>
          <w:sz w:val="24"/>
        </w:rPr>
        <w:t>Waste gases from combustion plants shall be discharged by a stack sufficiently high as to safeguard health and the environment;</w:t>
      </w:r>
    </w:p>
    <w:p>
      <w:pPr>
        <w:pStyle w:val="Normal"/>
        <w:numPr>
          <w:ilvl w:val="0"/>
          <w:numId w:val="14"/>
        </w:numPr>
        <w:rPr>
          <w:sz w:val="24"/>
        </w:rPr>
      </w:pPr>
      <w:r>
        <w:rPr>
          <w:sz w:val="24"/>
        </w:rPr>
        <w:t>Monitoring of plant emissions will be carried out at the operator’s expense;</w:t>
      </w:r>
    </w:p>
    <w:p>
      <w:pPr>
        <w:pStyle w:val="Normal"/>
        <w:numPr>
          <w:ilvl w:val="0"/>
          <w:numId w:val="11"/>
        </w:numPr>
        <w:rPr>
          <w:sz w:val="24"/>
        </w:rPr>
      </w:pPr>
      <w:r>
        <w:rPr>
          <w:sz w:val="24"/>
        </w:rPr>
        <w:t>Measuring methods and/or equipment used to determine the concentrations of SO</w:t>
      </w:r>
      <w:r>
        <w:rPr>
          <w:sz w:val="24"/>
          <w:vertAlign w:val="subscript"/>
        </w:rPr>
        <w:t>2</w:t>
      </w:r>
      <w:r>
        <w:rPr>
          <w:sz w:val="24"/>
        </w:rPr>
        <w:t>, NOx and oxygen will correspond to the best industrial measurement technology and shall provide reproducible and comparable results;</w:t>
      </w:r>
    </w:p>
    <w:p>
      <w:pPr>
        <w:pStyle w:val="Normal"/>
        <w:numPr>
          <w:ilvl w:val="0"/>
          <w:numId w:val="4"/>
        </w:numPr>
        <w:rPr>
          <w:sz w:val="24"/>
        </w:rPr>
      </w:pPr>
      <w:r>
        <w:rPr>
          <w:sz w:val="24"/>
        </w:rPr>
        <w:t>In the event of continuous measurements, a plant will be considered to comply with  emission limits if the results indicate that for operating hours within a calendar year in the case of NOx, 95% of all the 48 hourly mean values do not exceed 110% of the emission limit values;</w:t>
      </w:r>
    </w:p>
    <w:p>
      <w:pPr>
        <w:pStyle w:val="Normal"/>
        <w:numPr>
          <w:ilvl w:val="0"/>
          <w:numId w:val="10"/>
        </w:numPr>
        <w:rPr>
          <w:sz w:val="24"/>
        </w:rPr>
      </w:pPr>
      <w:r>
        <w:rPr>
          <w:sz w:val="24"/>
        </w:rPr>
        <w:t>Concentrations for SO</w:t>
      </w:r>
      <w:r>
        <w:rPr>
          <w:sz w:val="24"/>
          <w:vertAlign w:val="subscript"/>
        </w:rPr>
        <w:t>2</w:t>
      </w:r>
      <w:r>
        <w:rPr>
          <w:sz w:val="24"/>
        </w:rPr>
        <w:t>, NOx, dust and oxygen shall be measured continuously in the case of new plants with a rated thermal input of more than 300 MW;</w:t>
      </w:r>
    </w:p>
    <w:p>
      <w:pPr>
        <w:pStyle w:val="Normal"/>
        <w:numPr>
          <w:ilvl w:val="0"/>
          <w:numId w:val="9"/>
        </w:numPr>
        <w:rPr>
          <w:sz w:val="24"/>
        </w:rPr>
      </w:pPr>
      <w:r>
        <w:rPr>
          <w:sz w:val="24"/>
        </w:rPr>
        <w:t>Determination of total annual emissions of SO</w:t>
      </w:r>
      <w:r>
        <w:rPr>
          <w:sz w:val="24"/>
          <w:vertAlign w:val="subscript"/>
        </w:rPr>
        <w:t xml:space="preserve">2 </w:t>
      </w:r>
      <w:r>
        <w:rPr>
          <w:sz w:val="24"/>
        </w:rPr>
        <w:t>and NOx in new plants. When continuous monitoring is used, the operator of the combustion plant shall add up separately for each pollutant the mass of pollutant emitted each day on the basis of the volumetric flow rates of waste gases;</w:t>
      </w:r>
    </w:p>
    <w:p>
      <w:pPr>
        <w:pStyle w:val="Heading3"/>
        <w:numPr>
          <w:ilvl w:val="0"/>
          <w:numId w:val="6"/>
        </w:numPr>
        <w:rPr>
          <w:b w:val="false"/>
          <w:i w:val="false"/>
          <w:i w:val="false"/>
          <w:sz w:val="22"/>
        </w:rPr>
      </w:pPr>
      <w:r>
        <w:rPr>
          <w:b w:val="false"/>
          <w:i w:val="false"/>
        </w:rPr>
        <w:t>Member States shall establish, since 1990 and for each subsequent year, a complete emission inventory for existing plants covering SO</w:t>
      </w:r>
      <w:r>
        <w:rPr>
          <w:b w:val="false"/>
          <w:i w:val="false"/>
          <w:vertAlign w:val="subscript"/>
        </w:rPr>
        <w:t xml:space="preserve">2 </w:t>
      </w:r>
      <w:r>
        <w:rPr>
          <w:b w:val="false"/>
          <w:i w:val="false"/>
        </w:rPr>
        <w:t>and NOx on a plant by plant basis for plants above 300 Mwth</w:t>
      </w:r>
    </w:p>
    <w:p>
      <w:pPr>
        <w:pStyle w:val="Heading3"/>
        <w:ind w:hanging="0" w:start="0"/>
        <w:rPr>
          <w:b w:val="false"/>
          <w:i w:val="false"/>
          <w:i w:val="false"/>
          <w:sz w:val="22"/>
        </w:rPr>
      </w:pPr>
      <w:r>
        <w:rPr>
          <w:b w:val="false"/>
          <w:i w:val="false"/>
          <w:sz w:val="22"/>
        </w:rPr>
      </w:r>
    </w:p>
    <w:p>
      <w:pPr>
        <w:pStyle w:val="Heading3"/>
        <w:ind w:hanging="0" w:start="0"/>
        <w:rPr>
          <w:i w:val="false"/>
          <w:i w:val="false"/>
          <w:sz w:val="28"/>
          <w:u w:val="single"/>
        </w:rPr>
      </w:pPr>
      <w:r>
        <w:rPr>
          <w:i w:val="false"/>
          <w:sz w:val="28"/>
          <w:u w:val="single"/>
        </w:rPr>
        <w:t>Proposal to amend Council Directive 88/609 on limitation of emissions of certain pollutants</w:t>
      </w:r>
    </w:p>
    <w:p>
      <w:pPr>
        <w:pStyle w:val="Normal"/>
        <w:rPr>
          <w:i/>
          <w:i/>
          <w:sz w:val="28"/>
          <w:u w:val="single"/>
        </w:rPr>
      </w:pPr>
      <w:r>
        <w:rPr>
          <w:i/>
          <w:sz w:val="28"/>
          <w:u w:val="single"/>
        </w:rPr>
      </w:r>
    </w:p>
    <w:p>
      <w:pPr>
        <w:pStyle w:val="BodyText2"/>
        <w:rPr/>
      </w:pPr>
      <w:r>
        <w:rPr>
          <w:sz w:val="22"/>
        </w:rPr>
        <w:t>On 8 July 1998 the Commission made a proposal to amend Directive88/609 on limitation of emissions of certain pollutants into the air from large combustion plants (LCP). The new Directive when adopted will apply to new LCPs, which will have to be licenced once the Directive takes effect, and to existing ones from 2008 onwards. The central elements of the revision concerned the updating of emission limit values applicable to combustion plants put into operation after 1 January 2000, and the extension of the scope to include gas turbines. The proposal also included the updating of provisions concerning the annual emissions inventory for SO</w:t>
      </w:r>
      <w:r>
        <w:rPr>
          <w:sz w:val="22"/>
          <w:vertAlign w:val="subscript"/>
        </w:rPr>
        <w:t xml:space="preserve">2 </w:t>
      </w:r>
      <w:r>
        <w:rPr>
          <w:sz w:val="22"/>
        </w:rPr>
        <w:t>and NOx to include data from both new and existing installations on an individual basis and to include data concerning energy consumption to provide information on trends in emission factors.</w:t>
      </w:r>
    </w:p>
    <w:p>
      <w:pPr>
        <w:pStyle w:val="Normal"/>
        <w:rPr>
          <w:sz w:val="22"/>
        </w:rPr>
      </w:pPr>
      <w:r>
        <w:rPr>
          <w:sz w:val="22"/>
        </w:rPr>
      </w:r>
    </w:p>
    <w:p>
      <w:pPr>
        <w:pStyle w:val="Normal"/>
        <w:rPr/>
      </w:pPr>
      <w:r>
        <w:rPr>
          <w:sz w:val="22"/>
        </w:rPr>
        <w:t>The Council adopted its Common Position</w:t>
      </w:r>
      <w:r>
        <w:rPr>
          <w:rStyle w:val="FootnoteCharacters"/>
          <w:rStyle w:val="FootnoteReference"/>
          <w:sz w:val="22"/>
        </w:rPr>
        <w:footnoteReference w:id="3"/>
      </w:r>
      <w:r>
        <w:rPr>
          <w:sz w:val="22"/>
        </w:rPr>
        <w:t xml:space="preserve"> on 9 November 2000.It provides Member States with two alternatives for the treatment of existing plants to be achieved by 1 January 2008:</w:t>
      </w:r>
    </w:p>
    <w:p>
      <w:pPr>
        <w:pStyle w:val="Normal"/>
        <w:numPr>
          <w:ilvl w:val="0"/>
          <w:numId w:val="2"/>
        </w:numPr>
        <w:rPr>
          <w:sz w:val="22"/>
        </w:rPr>
      </w:pPr>
      <w:r>
        <w:rPr>
          <w:sz w:val="22"/>
        </w:rPr>
        <w:t>Compliance with the emission limit values and other conditions set out for “old new plants”;</w:t>
      </w:r>
    </w:p>
    <w:p>
      <w:pPr>
        <w:pStyle w:val="Normal"/>
        <w:numPr>
          <w:ilvl w:val="0"/>
          <w:numId w:val="2"/>
        </w:numPr>
        <w:rPr>
          <w:sz w:val="22"/>
        </w:rPr>
      </w:pPr>
      <w:r>
        <w:rPr>
          <w:sz w:val="22"/>
        </w:rPr>
        <w:t>Compliance with national mission reduction plan, leading to the same emission level that would have been achieved by applying the above mentioned limit values to existing plants in operation in 2000.</w:t>
      </w:r>
    </w:p>
    <w:p>
      <w:pPr>
        <w:pStyle w:val="Normal"/>
        <w:rPr>
          <w:sz w:val="22"/>
        </w:rPr>
      </w:pPr>
      <w:r>
        <w:rPr>
          <w:sz w:val="22"/>
        </w:rPr>
      </w:r>
    </w:p>
    <w:p>
      <w:pPr>
        <w:pStyle w:val="Normal"/>
        <w:rPr>
          <w:sz w:val="22"/>
        </w:rPr>
      </w:pPr>
      <w:r>
        <w:rPr>
          <w:sz w:val="22"/>
        </w:rPr>
        <w:t xml:space="preserve">The Council also proposed that existing plants may be exempt from these obligations if before 30 June 2004 an operator declares that they will not be operated for more than 20,000 hours from 1 January 2008. </w:t>
      </w:r>
    </w:p>
    <w:p>
      <w:pPr>
        <w:pStyle w:val="Normal"/>
        <w:rPr>
          <w:sz w:val="22"/>
        </w:rPr>
      </w:pPr>
      <w:r>
        <w:rPr>
          <w:sz w:val="22"/>
        </w:rPr>
        <w:t>The Commission supports the Common Position.</w:t>
      </w:r>
    </w:p>
    <w:p>
      <w:pPr>
        <w:pStyle w:val="BodyText2"/>
        <w:rPr>
          <w:sz w:val="22"/>
        </w:rPr>
      </w:pPr>
      <w:r>
        <w:rPr>
          <w:sz w:val="22"/>
        </w:rPr>
      </w:r>
    </w:p>
    <w:p>
      <w:pPr>
        <w:pStyle w:val="BodyText2"/>
        <w:rPr/>
      </w:pPr>
      <w:r>
        <w:rPr>
          <w:sz w:val="22"/>
        </w:rPr>
        <w:t>On 14 March 2001, the European Parliament proposed to strengthen the Common Position by allowing the derogation of plants not operating for more than 20,000 hours to apply up to 31 December 2012, after which all derogations would cease. Parliament also tightened up the limits laid down in the annexes. In the case of solid fuels the Council wanted an SO</w:t>
      </w:r>
      <w:r>
        <w:rPr>
          <w:sz w:val="22"/>
          <w:vertAlign w:val="subscript"/>
        </w:rPr>
        <w:t>2</w:t>
      </w:r>
      <w:r>
        <w:rPr>
          <w:sz w:val="22"/>
        </w:rPr>
        <w:t xml:space="preserve"> limit starting at 2000 mg/Nm</w:t>
      </w:r>
      <w:r>
        <w:rPr>
          <w:sz w:val="22"/>
          <w:vertAlign w:val="superscript"/>
        </w:rPr>
        <w:t xml:space="preserve">3 </w:t>
      </w:r>
      <w:r>
        <w:rPr>
          <w:sz w:val="22"/>
        </w:rPr>
        <w:t>for LCPs of 100 MWth and decreasing gradually to 400 mg/Nm</w:t>
      </w:r>
      <w:r>
        <w:rPr>
          <w:sz w:val="22"/>
          <w:vertAlign w:val="superscript"/>
        </w:rPr>
        <w:t xml:space="preserve">3 </w:t>
      </w:r>
      <w:r>
        <w:rPr>
          <w:sz w:val="22"/>
        </w:rPr>
        <w:t>for plants of 500 MWth or bigger. Parliament, however, voted for a faster decrease to 300 mg/Nm</w:t>
      </w:r>
      <w:r>
        <w:rPr>
          <w:sz w:val="22"/>
          <w:vertAlign w:val="superscript"/>
        </w:rPr>
        <w:t xml:space="preserve">3 </w:t>
      </w:r>
      <w:r>
        <w:rPr>
          <w:sz w:val="22"/>
        </w:rPr>
        <w:t xml:space="preserve">for 300 MWth plants or bigger. For liquid fuels, Council's starting point was a limit of 1700 mg/Nm3 for LCPs of 50-300 MWth, decreasing to 400 mg/Nm3 for 500 MWth plants. Here, Parliament wants a direct limit of 300 mg/Nm3 for 300 MWth plants or bigger. </w:t>
      </w:r>
    </w:p>
    <w:p>
      <w:pPr>
        <w:pStyle w:val="BodyText3"/>
        <w:rPr/>
      </w:pPr>
      <w:r>
        <w:rPr/>
        <w:t xml:space="preserve">Parliament also voted for tougher limits for NOx. </w:t>
      </w:r>
    </w:p>
    <w:p>
      <w:pPr>
        <w:pStyle w:val="Normal"/>
        <w:jc w:val="both"/>
        <w:rPr>
          <w:sz w:val="22"/>
        </w:rPr>
      </w:pPr>
      <w:r>
        <w:rPr>
          <w:sz w:val="22"/>
        </w:rPr>
      </w:r>
    </w:p>
    <w:tbl>
      <w:tblPr>
        <w:tblW w:w="8067" w:type="dxa"/>
        <w:jc w:val="center"/>
        <w:tblInd w:w="0" w:type="dxa"/>
        <w:tblLayout w:type="fixed"/>
        <w:tblCellMar>
          <w:top w:w="0" w:type="dxa"/>
          <w:start w:w="0" w:type="dxa"/>
          <w:bottom w:w="0" w:type="dxa"/>
          <w:end w:w="0" w:type="dxa"/>
        </w:tblCellMar>
      </w:tblPr>
      <w:tblGrid>
        <w:gridCol w:w="2765"/>
        <w:gridCol w:w="1560"/>
        <w:gridCol w:w="1701"/>
        <w:gridCol w:w="2041"/>
      </w:tblGrid>
      <w:tr>
        <w:trPr/>
        <w:tc>
          <w:tcPr>
            <w:tcW w:w="2765"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napToGrid w:val="false"/>
              <w:jc w:val="both"/>
              <w:rPr>
                <w:sz w:val="22"/>
              </w:rPr>
            </w:pPr>
            <w:r>
              <w:rPr>
                <w:sz w:val="22"/>
              </w:rPr>
            </w:r>
          </w:p>
          <w:p>
            <w:pPr>
              <w:pStyle w:val="Normal"/>
              <w:jc w:val="both"/>
              <w:rPr>
                <w:sz w:val="22"/>
              </w:rPr>
            </w:pPr>
            <w:r>
              <w:rPr>
                <w:sz w:val="22"/>
              </w:rPr>
            </w:r>
          </w:p>
        </w:tc>
        <w:tc>
          <w:tcPr>
            <w:tcW w:w="156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Solid Fuels</w:t>
            </w:r>
          </w:p>
        </w:tc>
        <w:tc>
          <w:tcPr>
            <w:tcW w:w="17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Gas Fuels</w:t>
            </w:r>
          </w:p>
        </w:tc>
        <w:tc>
          <w:tcPr>
            <w:tcW w:w="204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Plants &gt;300 MWth</w:t>
            </w:r>
          </w:p>
        </w:tc>
      </w:tr>
      <w:tr>
        <w:trPr/>
        <w:tc>
          <w:tcPr>
            <w:tcW w:w="2765" w:type="dxa"/>
            <w:tcBorders>
              <w:top w:val="threeDEmboss" w:sz="6" w:space="0" w:color="000000"/>
              <w:start w:val="threeDEmboss" w:sz="6" w:space="0" w:color="000000"/>
              <w:bottom w:val="threeDEmboss" w:sz="6" w:space="0" w:color="000000"/>
              <w:end w:val="threeDEmboss" w:sz="6" w:space="0" w:color="000000"/>
            </w:tcBorders>
            <w:vAlign w:val="center"/>
          </w:tcPr>
          <w:p>
            <w:pPr>
              <w:pStyle w:val="Heading1"/>
              <w:ind w:hanging="0" w:start="0"/>
              <w:rPr>
                <w:sz w:val="22"/>
              </w:rPr>
            </w:pPr>
            <w:r>
              <w:rPr>
                <w:sz w:val="22"/>
              </w:rPr>
              <w:t>Council Common position</w:t>
            </w:r>
          </w:p>
        </w:tc>
        <w:tc>
          <w:tcPr>
            <w:tcW w:w="156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650 mg/Nm</w:t>
            </w:r>
            <w:r>
              <w:rPr>
                <w:sz w:val="22"/>
                <w:vertAlign w:val="superscript"/>
              </w:rPr>
              <w:t>3</w:t>
            </w:r>
          </w:p>
        </w:tc>
        <w:tc>
          <w:tcPr>
            <w:tcW w:w="17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350 mg/Nm</w:t>
            </w:r>
            <w:r>
              <w:rPr>
                <w:sz w:val="22"/>
                <w:vertAlign w:val="superscript"/>
              </w:rPr>
              <w:t>3</w:t>
            </w:r>
          </w:p>
        </w:tc>
        <w:tc>
          <w:tcPr>
            <w:tcW w:w="204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snapToGrid w:val="false"/>
              <w:jc w:val="both"/>
              <w:rPr>
                <w:sz w:val="22"/>
              </w:rPr>
            </w:pPr>
            <w:r>
              <w:rPr>
                <w:sz w:val="22"/>
              </w:rPr>
            </w:r>
          </w:p>
        </w:tc>
      </w:tr>
      <w:tr>
        <w:trPr/>
        <w:tc>
          <w:tcPr>
            <w:tcW w:w="2765" w:type="dxa"/>
            <w:tcBorders>
              <w:top w:val="threeDEmboss" w:sz="6" w:space="0" w:color="000000"/>
              <w:start w:val="threeDEmboss" w:sz="6" w:space="0" w:color="000000"/>
              <w:bottom w:val="threeDEmboss" w:sz="6" w:space="0" w:color="000000"/>
              <w:end w:val="threeDEmboss" w:sz="6" w:space="0" w:color="000000"/>
            </w:tcBorders>
            <w:vAlign w:val="center"/>
          </w:tcPr>
          <w:p>
            <w:pPr>
              <w:pStyle w:val="Heading1"/>
              <w:ind w:hanging="0" w:start="0"/>
              <w:rPr>
                <w:sz w:val="22"/>
              </w:rPr>
            </w:pPr>
            <w:r>
              <w:rPr>
                <w:sz w:val="22"/>
              </w:rPr>
              <w:t>Parliament 2nd reading</w:t>
            </w:r>
          </w:p>
        </w:tc>
        <w:tc>
          <w:tcPr>
            <w:tcW w:w="1560"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350 mg/Nm</w:t>
            </w:r>
            <w:r>
              <w:rPr>
                <w:sz w:val="22"/>
                <w:vertAlign w:val="superscript"/>
              </w:rPr>
              <w:t>3</w:t>
            </w:r>
          </w:p>
        </w:tc>
        <w:tc>
          <w:tcPr>
            <w:tcW w:w="170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250 mg/Nm</w:t>
            </w:r>
            <w:r>
              <w:rPr>
                <w:sz w:val="22"/>
                <w:vertAlign w:val="superscript"/>
              </w:rPr>
              <w:t>3</w:t>
            </w:r>
          </w:p>
        </w:tc>
        <w:tc>
          <w:tcPr>
            <w:tcW w:w="2041"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200 mg/Nm</w:t>
            </w:r>
            <w:r>
              <w:rPr>
                <w:sz w:val="22"/>
                <w:vertAlign w:val="superscript"/>
              </w:rPr>
              <w:t>3</w:t>
            </w:r>
          </w:p>
        </w:tc>
      </w:tr>
    </w:tbl>
    <w:p>
      <w:pPr>
        <w:pStyle w:val="Normal"/>
        <w:jc w:val="both"/>
        <w:rPr>
          <w:sz w:val="22"/>
        </w:rPr>
      </w:pPr>
      <w:r>
        <w:rPr>
          <w:sz w:val="22"/>
        </w:rPr>
      </w:r>
    </w:p>
    <w:p>
      <w:pPr>
        <w:pStyle w:val="Normal"/>
        <w:jc w:val="both"/>
        <w:rPr>
          <w:sz w:val="22"/>
        </w:rPr>
      </w:pPr>
      <w:r>
        <w:rPr>
          <w:sz w:val="22"/>
        </w:rPr>
      </w:r>
    </w:p>
    <w:p>
      <w:pPr>
        <w:pStyle w:val="Normal"/>
        <w:jc w:val="both"/>
        <w:rPr/>
      </w:pPr>
      <w:r>
        <w:rPr>
          <w:sz w:val="22"/>
        </w:rPr>
        <w:t>The Council has already indicated that it cannot agree with the EP amendments although no official decision has been taken. A first trialogue</w:t>
      </w:r>
      <w:r>
        <w:rPr>
          <w:rStyle w:val="FootnoteCharacters"/>
          <w:rStyle w:val="FootnoteReference"/>
          <w:sz w:val="22"/>
        </w:rPr>
        <w:footnoteReference w:id="4"/>
      </w:r>
      <w:r>
        <w:rPr>
          <w:sz w:val="22"/>
        </w:rPr>
        <w:t xml:space="preserve"> meeting will take place on 26 April and it is expected that the conciliation procedure will take place.</w:t>
      </w:r>
    </w:p>
    <w:p>
      <w:pPr>
        <w:pStyle w:val="Heading3"/>
        <w:ind w:hanging="0" w:start="0"/>
        <w:rPr>
          <w:i w:val="false"/>
          <w:i w:val="false"/>
          <w:sz w:val="22"/>
        </w:rPr>
      </w:pPr>
      <w:r>
        <w:rPr>
          <w:i w:val="false"/>
          <w:sz w:val="22"/>
        </w:rPr>
      </w:r>
    </w:p>
    <w:p>
      <w:pPr>
        <w:pStyle w:val="Heading3"/>
        <w:ind w:hanging="0" w:start="0"/>
        <w:rPr>
          <w:i w:val="false"/>
          <w:i w:val="false"/>
          <w:sz w:val="28"/>
          <w:u w:val="single"/>
        </w:rPr>
      </w:pPr>
      <w:r>
        <w:rPr>
          <w:i w:val="false"/>
          <w:sz w:val="28"/>
          <w:u w:val="single"/>
        </w:rPr>
        <w:t xml:space="preserve">Proposal for a Directive of the European Parliament and of the Council on national emission ceilings for certain atmospheric pollutants </w:t>
      </w:r>
    </w:p>
    <w:p>
      <w:pPr>
        <w:pStyle w:val="Normal"/>
        <w:rPr>
          <w:i/>
          <w:i/>
          <w:sz w:val="28"/>
          <w:u w:val="single"/>
        </w:rPr>
      </w:pPr>
      <w:r>
        <w:rPr>
          <w:i/>
          <w:sz w:val="28"/>
          <w:u w:val="single"/>
        </w:rPr>
      </w:r>
    </w:p>
    <w:p>
      <w:pPr>
        <w:pStyle w:val="Normal"/>
        <w:rPr/>
      </w:pPr>
      <w:r>
        <w:rPr>
          <w:sz w:val="22"/>
        </w:rPr>
        <w:t>On 9 June 1999, the Commission adopted a proposal to set national ceilings for emissions of SO</w:t>
      </w:r>
      <w:r>
        <w:rPr>
          <w:sz w:val="22"/>
          <w:vertAlign w:val="subscript"/>
        </w:rPr>
        <w:t>2</w:t>
      </w:r>
      <w:r>
        <w:rPr>
          <w:sz w:val="22"/>
        </w:rPr>
        <w:t>, NOx, VOCs and ammonia to remedying the problems of acidification, trophospheric ozone and soil eutrophication. These ceilings are to be complied with by 2010 at the latest.</w:t>
      </w:r>
    </w:p>
    <w:p>
      <w:pPr>
        <w:pStyle w:val="Normal"/>
        <w:rPr>
          <w:sz w:val="22"/>
        </w:rPr>
      </w:pPr>
      <w:r>
        <w:rPr>
          <w:sz w:val="22"/>
        </w:rPr>
      </w:r>
    </w:p>
    <w:p>
      <w:pPr>
        <w:pStyle w:val="Normal"/>
        <w:rPr>
          <w:sz w:val="22"/>
        </w:rPr>
      </w:pPr>
      <w:r>
        <w:rPr>
          <w:sz w:val="22"/>
        </w:rPr>
        <w:t>Member States are required to draw up programmes for the progressive reduction of their annual national emissions and report them to the Commission before the end of 2002. In addition to Member States' reports, the Commission will take account of and explore other aspects relevant to these reports, such as emission reductions and reduction commitments by non-Community countries or new energy forecasts reflecting the actions taken by the Member States to comply with the Kyoto Agreement.</w:t>
      </w:r>
    </w:p>
    <w:p>
      <w:pPr>
        <w:pStyle w:val="Normal"/>
        <w:rPr>
          <w:sz w:val="22"/>
        </w:rPr>
      </w:pPr>
      <w:r>
        <w:rPr>
          <w:sz w:val="22"/>
        </w:rPr>
      </w:r>
    </w:p>
    <w:p>
      <w:pPr>
        <w:pStyle w:val="Normal"/>
        <w:rPr>
          <w:sz w:val="22"/>
        </w:rPr>
      </w:pPr>
      <w:r>
        <w:rPr>
          <w:sz w:val="22"/>
        </w:rPr>
        <w:t xml:space="preserve">On 7 November 2000 the Council adopted its Common Position, committing only to emission reductions which it felt certain of achieving and indicating that in the review of 2004 it would try to go further in the light of information available by then. </w:t>
      </w:r>
    </w:p>
    <w:p>
      <w:pPr>
        <w:pStyle w:val="Normal"/>
        <w:rPr>
          <w:sz w:val="22"/>
        </w:rPr>
      </w:pPr>
      <w:r>
        <w:rPr>
          <w:sz w:val="22"/>
        </w:rPr>
      </w:r>
    </w:p>
    <w:p>
      <w:pPr>
        <w:pStyle w:val="Normal"/>
        <w:jc w:val="both"/>
        <w:rPr>
          <w:sz w:val="22"/>
        </w:rPr>
      </w:pPr>
      <w:r>
        <w:rPr>
          <w:sz w:val="22"/>
        </w:rPr>
        <w:t xml:space="preserve">On 14 March 2001 Parliament adopted a report including a number of amendments to the Common Position on the basis that the national emission ceilings contained in the Common Position are far less ambitious than those initially proposed by the Commission and that the Council has not set a date for when the ultimate goal of the legislation - no exceeding of critical loads - should be achieved. </w:t>
      </w:r>
    </w:p>
    <w:p>
      <w:pPr>
        <w:pStyle w:val="Normal"/>
        <w:jc w:val="both"/>
        <w:rPr>
          <w:sz w:val="22"/>
        </w:rPr>
      </w:pPr>
      <w:r>
        <w:rPr>
          <w:sz w:val="22"/>
        </w:rPr>
      </w:r>
    </w:p>
    <w:p>
      <w:pPr>
        <w:pStyle w:val="Normal"/>
        <w:rPr>
          <w:sz w:val="22"/>
        </w:rPr>
      </w:pPr>
      <w:r>
        <w:rPr>
          <w:i/>
          <w:sz w:val="22"/>
        </w:rPr>
        <w:t xml:space="preserve">National emission ceilings to be attained by 2010 </w:t>
      </w:r>
    </w:p>
    <w:tbl>
      <w:tblPr>
        <w:tblW w:w="9021" w:type="dxa"/>
        <w:jc w:val="center"/>
        <w:tblInd w:w="0" w:type="dxa"/>
        <w:tblLayout w:type="fixed"/>
        <w:tblCellMar>
          <w:top w:w="0" w:type="dxa"/>
          <w:start w:w="0" w:type="dxa"/>
          <w:bottom w:w="0" w:type="dxa"/>
          <w:end w:w="0" w:type="dxa"/>
        </w:tblCellMar>
      </w:tblPr>
      <w:tblGrid>
        <w:gridCol w:w="4529"/>
        <w:gridCol w:w="1123"/>
        <w:gridCol w:w="1123"/>
        <w:gridCol w:w="1123"/>
        <w:gridCol w:w="1123"/>
      </w:tblGrid>
      <w:tr>
        <w:trPr/>
        <w:tc>
          <w:tcPr>
            <w:tcW w:w="4529"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All figures in kilotonnes</w:t>
            </w:r>
          </w:p>
        </w:tc>
        <w:tc>
          <w:tcPr>
            <w:tcW w:w="1123"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SO</w:t>
            </w:r>
            <w:r>
              <w:rPr>
                <w:sz w:val="22"/>
                <w:vertAlign w:val="subscript"/>
              </w:rPr>
              <w:t>2</w:t>
            </w:r>
          </w:p>
        </w:tc>
        <w:tc>
          <w:tcPr>
            <w:tcW w:w="1123"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NOx</w:t>
            </w:r>
          </w:p>
        </w:tc>
        <w:tc>
          <w:tcPr>
            <w:tcW w:w="1123"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VOC</w:t>
            </w:r>
          </w:p>
        </w:tc>
        <w:tc>
          <w:tcPr>
            <w:tcW w:w="1123"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NH3</w:t>
            </w:r>
          </w:p>
        </w:tc>
      </w:tr>
      <w:tr>
        <w:trPr/>
        <w:tc>
          <w:tcPr>
            <w:tcW w:w="4529" w:type="dxa"/>
            <w:tcBorders>
              <w:top w:val="threeDEmboss" w:sz="6" w:space="0" w:color="000000"/>
              <w:start w:val="threeDEmboss" w:sz="6" w:space="0" w:color="000000"/>
              <w:bottom w:val="threeDEmboss" w:sz="6" w:space="0" w:color="000000"/>
              <w:end w:val="threeDEmboss" w:sz="6" w:space="0" w:color="000000"/>
            </w:tcBorders>
            <w:vAlign w:val="center"/>
          </w:tcPr>
          <w:p>
            <w:pPr>
              <w:pStyle w:val="Heading1"/>
              <w:ind w:hanging="0" w:start="0"/>
              <w:rPr>
                <w:sz w:val="22"/>
              </w:rPr>
            </w:pPr>
            <w:r>
              <w:rPr>
                <w:sz w:val="22"/>
              </w:rPr>
              <w:t>Commission proposal</w:t>
            </w:r>
          </w:p>
          <w:p>
            <w:pPr>
              <w:pStyle w:val="Normal"/>
              <w:rPr>
                <w:sz w:val="22"/>
              </w:rPr>
            </w:pPr>
            <w:r>
              <w:rPr>
                <w:sz w:val="22"/>
              </w:rPr>
            </w:r>
          </w:p>
        </w:tc>
        <w:tc>
          <w:tcPr>
            <w:tcW w:w="1123"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3634</w:t>
            </w:r>
          </w:p>
        </w:tc>
        <w:tc>
          <w:tcPr>
            <w:tcW w:w="1123"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5923</w:t>
            </w:r>
          </w:p>
        </w:tc>
        <w:tc>
          <w:tcPr>
            <w:tcW w:w="1123"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5581</w:t>
            </w:r>
          </w:p>
        </w:tc>
        <w:tc>
          <w:tcPr>
            <w:tcW w:w="1123"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2827</w:t>
            </w:r>
          </w:p>
        </w:tc>
      </w:tr>
      <w:tr>
        <w:trPr/>
        <w:tc>
          <w:tcPr>
            <w:tcW w:w="4529" w:type="dxa"/>
            <w:tcBorders>
              <w:top w:val="threeDEmboss" w:sz="6" w:space="0" w:color="000000"/>
              <w:start w:val="threeDEmboss" w:sz="6" w:space="0" w:color="000000"/>
              <w:bottom w:val="threeDEmboss" w:sz="6" w:space="0" w:color="000000"/>
              <w:end w:val="threeDEmboss" w:sz="6" w:space="0" w:color="000000"/>
            </w:tcBorders>
            <w:vAlign w:val="center"/>
          </w:tcPr>
          <w:p>
            <w:pPr>
              <w:pStyle w:val="Heading1"/>
              <w:ind w:hanging="0" w:start="0"/>
              <w:rPr>
                <w:sz w:val="22"/>
              </w:rPr>
            </w:pPr>
            <w:r>
              <w:rPr>
                <w:sz w:val="22"/>
              </w:rPr>
              <w:t>Council Common Position</w:t>
            </w:r>
          </w:p>
        </w:tc>
        <w:tc>
          <w:tcPr>
            <w:tcW w:w="1123"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3850</w:t>
            </w:r>
          </w:p>
        </w:tc>
        <w:tc>
          <w:tcPr>
            <w:tcW w:w="1123"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6519</w:t>
            </w:r>
          </w:p>
        </w:tc>
        <w:tc>
          <w:tcPr>
            <w:tcW w:w="1123"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6510</w:t>
            </w:r>
          </w:p>
        </w:tc>
        <w:tc>
          <w:tcPr>
            <w:tcW w:w="1123"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3110</w:t>
            </w:r>
          </w:p>
        </w:tc>
      </w:tr>
      <w:tr>
        <w:trPr/>
        <w:tc>
          <w:tcPr>
            <w:tcW w:w="4529" w:type="dxa"/>
            <w:tcBorders>
              <w:top w:val="threeDEmboss" w:sz="6" w:space="0" w:color="000000"/>
              <w:start w:val="threeDEmboss" w:sz="6" w:space="0" w:color="000000"/>
              <w:bottom w:val="threeDEmboss" w:sz="6" w:space="0" w:color="000000"/>
              <w:end w:val="threeDEmboss" w:sz="6" w:space="0" w:color="000000"/>
            </w:tcBorders>
            <w:vAlign w:val="center"/>
          </w:tcPr>
          <w:p>
            <w:pPr>
              <w:pStyle w:val="Heading1"/>
              <w:ind w:hanging="0" w:start="0"/>
              <w:rPr>
                <w:sz w:val="22"/>
              </w:rPr>
            </w:pPr>
            <w:r>
              <w:rPr>
                <w:sz w:val="22"/>
              </w:rPr>
              <w:t>Parliament 2nd Reading</w:t>
            </w:r>
          </w:p>
        </w:tc>
        <w:tc>
          <w:tcPr>
            <w:tcW w:w="1123"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3491</w:t>
            </w:r>
          </w:p>
        </w:tc>
        <w:tc>
          <w:tcPr>
            <w:tcW w:w="1123"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5905</w:t>
            </w:r>
          </w:p>
        </w:tc>
        <w:tc>
          <w:tcPr>
            <w:tcW w:w="1123"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5581</w:t>
            </w:r>
          </w:p>
        </w:tc>
        <w:tc>
          <w:tcPr>
            <w:tcW w:w="1123" w:type="dxa"/>
            <w:tcBorders>
              <w:top w:val="threeDEmboss" w:sz="6" w:space="0" w:color="000000"/>
              <w:start w:val="threeDEmboss" w:sz="6" w:space="0" w:color="000000"/>
              <w:bottom w:val="threeDEmboss" w:sz="6" w:space="0" w:color="000000"/>
              <w:end w:val="threeDEmboss" w:sz="6" w:space="0" w:color="000000"/>
            </w:tcBorders>
            <w:vAlign w:val="center"/>
          </w:tcPr>
          <w:p>
            <w:pPr>
              <w:pStyle w:val="Normal"/>
              <w:jc w:val="both"/>
              <w:rPr>
                <w:sz w:val="22"/>
              </w:rPr>
            </w:pPr>
            <w:r>
              <w:rPr>
                <w:sz w:val="22"/>
              </w:rPr>
              <w:t>3110</w:t>
            </w:r>
          </w:p>
        </w:tc>
      </w:tr>
    </w:tbl>
    <w:p>
      <w:pPr>
        <w:pStyle w:val="Normal"/>
        <w:jc w:val="both"/>
        <w:rPr>
          <w:sz w:val="22"/>
        </w:rPr>
      </w:pPr>
      <w:r>
        <w:rPr>
          <w:sz w:val="22"/>
        </w:rPr>
      </w:r>
    </w:p>
    <w:p>
      <w:pPr>
        <w:pStyle w:val="Normal"/>
        <w:jc w:val="both"/>
        <w:rPr>
          <w:sz w:val="22"/>
        </w:rPr>
      </w:pPr>
      <w:r>
        <w:rPr>
          <w:sz w:val="22"/>
        </w:rPr>
        <w:t xml:space="preserve">On the question of a specific date for achieving the long-term objectives of the Directive, Parliament proposes that the deadline for meeting the final target figures for critical levels and for protecting all people against health risks from air pollution should be 2020. </w:t>
      </w:r>
    </w:p>
    <w:p>
      <w:pPr>
        <w:pStyle w:val="Normal"/>
        <w:jc w:val="both"/>
        <w:rPr>
          <w:sz w:val="22"/>
        </w:rPr>
      </w:pPr>
      <w:r>
        <w:rPr>
          <w:sz w:val="22"/>
        </w:rPr>
      </w:r>
    </w:p>
    <w:p>
      <w:pPr>
        <w:pStyle w:val="Normal"/>
        <w:rPr>
          <w:sz w:val="22"/>
        </w:rPr>
      </w:pPr>
      <w:r>
        <w:rPr>
          <w:sz w:val="22"/>
        </w:rPr>
        <w:t>The Council has already indicated that it cannot agree with the amendments adopted by Parliament although no official decision has been taken yet. A first trialogue meeting will take place on 26 April and it is expected that the conciliation procedure will take place.</w:t>
      </w:r>
    </w:p>
    <w:p>
      <w:pPr>
        <w:pStyle w:val="Heading2"/>
        <w:ind w:hanging="0" w:start="0"/>
        <w:rPr>
          <w:rFonts w:ascii="Times New Roman" w:hAnsi="Times New Roman" w:cs="Times New Roman"/>
          <w:i w:val="false"/>
          <w:i w:val="false"/>
          <w:sz w:val="28"/>
          <w:u w:val="single"/>
        </w:rPr>
      </w:pPr>
      <w:r>
        <w:rPr>
          <w:rFonts w:cs="Times New Roman" w:ascii="Times New Roman" w:hAnsi="Times New Roman"/>
          <w:i w:val="false"/>
          <w:sz w:val="28"/>
          <w:u w:val="single"/>
        </w:rPr>
        <w:t>Trading Programmes</w:t>
      </w:r>
    </w:p>
    <w:p>
      <w:pPr>
        <w:pStyle w:val="Normal"/>
        <w:rPr>
          <w:rFonts w:ascii="Times New Roman" w:hAnsi="Times New Roman" w:cs="Times New Roman"/>
          <w:i/>
          <w:i/>
          <w:sz w:val="28"/>
          <w:u w:val="single"/>
        </w:rPr>
      </w:pPr>
      <w:r>
        <w:rPr>
          <w:rFonts w:cs="Times New Roman"/>
          <w:i/>
          <w:sz w:val="28"/>
          <w:u w:val="single"/>
        </w:rPr>
      </w:r>
    </w:p>
    <w:p>
      <w:pPr>
        <w:pStyle w:val="Normal"/>
        <w:rPr/>
      </w:pPr>
      <w:r>
        <w:rPr>
          <w:sz w:val="22"/>
        </w:rPr>
        <w:t>The Commission is not considering any specific trading program for NOx emissions. However the official in charge of the working group on flexible mechanisms of the European Climate Change Programme</w:t>
      </w:r>
      <w:r>
        <w:rPr>
          <w:rStyle w:val="FootnoteCharacters"/>
          <w:rStyle w:val="FootnoteReference"/>
          <w:sz w:val="22"/>
        </w:rPr>
        <w:footnoteReference w:id="5"/>
      </w:r>
      <w:r>
        <w:rPr>
          <w:sz w:val="22"/>
        </w:rPr>
        <w:t xml:space="preserve"> has indicated that NOx could be included among the gases within the trading scheme, provided that it could be adequately measured and subject to several safeguards. The inclusion of NOx would be subject to negotiations depending on the Commission proposal. </w:t>
      </w:r>
    </w:p>
    <w:p>
      <w:pPr>
        <w:pStyle w:val="Normal"/>
        <w:rPr>
          <w:sz w:val="22"/>
        </w:rPr>
      </w:pPr>
      <w:r>
        <w:rPr>
          <w:sz w:val="22"/>
        </w:rPr>
        <w:t>The Commission is not expected to make a proposal for a Framework Directive on Greenhouse Gas Emissions Trading before June 2002.</w:t>
      </w:r>
    </w:p>
    <w:p>
      <w:pPr>
        <w:pStyle w:val="Normal"/>
        <w:rPr>
          <w:sz w:val="22"/>
        </w:rPr>
      </w:pPr>
      <w:r>
        <w:rPr>
          <w:sz w:val="22"/>
        </w:rPr>
      </w:r>
    </w:p>
    <w:p>
      <w:pPr>
        <w:pStyle w:val="Normal"/>
        <w:rPr>
          <w:sz w:val="24"/>
        </w:rPr>
      </w:pPr>
      <w:r>
        <w:rPr>
          <w:sz w:val="24"/>
        </w:rPr>
      </w:r>
    </w:p>
    <w:p>
      <w:pPr>
        <w:pStyle w:val="Normal"/>
        <w:rPr>
          <w:sz w:val="24"/>
        </w:rPr>
      </w:pPr>
      <w:r>
        <w:rPr>
          <w:sz w:val="24"/>
        </w:rPr>
      </w:r>
    </w:p>
    <w:sectPr>
      <w:headerReference w:type="default" r:id="rId2"/>
      <w:headerReference w:type="first" r:id="rId3"/>
      <w:footerReference w:type="default" r:id="rId4"/>
      <w:footerReference w:type="first" r:id="rId5"/>
      <w:footnotePr>
        <w:numFmt w:val="decimal"/>
      </w:footnotePr>
      <w:type w:val="nextPage"/>
      <w:pgSz w:w="11906" w:h="16838"/>
      <w:pgMar w:left="1714" w:right="850" w:gutter="0" w:header="850" w:top="906" w:footer="850" w:bottom="9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itigateFrutigerLight">
    <w:altName w:val="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20" w:start="1580" w:end="0"/>
      <w:rPr>
        <w:rFonts w:ascii="CitigateFrutigerLight;Courier New" w:hAnsi="CitigateFrutigerLight;Courier New" w:cs="CitigateFrutigerLight;Courier New"/>
        <w:sz w:val="16"/>
      </w:rPr>
    </w:pPr>
    <w:r>
      <w:rPr>
        <w:rFonts w:cs="CitigateFrutigerLight;Courier New" w:ascii="CitigateFrutigerLight;Courier New" w:hAnsi="CitigateFrutigerLight;Courier New"/>
        <w:sz w:val="16"/>
      </w:rPr>
    </w:r>
  </w:p>
  <w:p>
    <w:pPr>
      <w:pStyle w:val="Footer"/>
      <w:ind w:hanging="20" w:start="1580" w:end="0"/>
      <w:rPr>
        <w:rFonts w:ascii="CitigateFrutigerLight;Courier New" w:hAnsi="CitigateFrutigerLight;Courier New" w:cs="CitigateFrutigerLight;Courier New"/>
        <w:sz w:val="16"/>
      </w:rPr>
    </w:pPr>
    <w:r>
      <w:rPr>
        <w:rFonts w:cs="CitigateFrutigerLight;Courier New" w:ascii="CitigateFrutigerLight;Courier New" w:hAnsi="CitigateFrutigerLight;Courier New"/>
        <w:sz w:val="16"/>
      </w:rPr>
    </w:r>
  </w:p>
  <w:p>
    <w:pPr>
      <w:pStyle w:val="Footer"/>
      <w:ind w:hanging="20" w:start="1580" w:end="0"/>
      <w:rPr>
        <w:rFonts w:ascii="CitigateFrutigerLight;Courier New" w:hAnsi="CitigateFrutigerLight;Courier New" w:cs="CitigateFrutigerLight;Courier New"/>
        <w:sz w:val="16"/>
      </w:rPr>
    </w:pPr>
    <w:r>
      <w:rPr>
        <w:rFonts w:cs="CitigateFrutigerLight;Courier New" w:ascii="CitigateFrutigerLight;Courier New" w:hAnsi="CitigateFrutigerLight;Courier New"/>
        <w:sz w:val="16"/>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limits were to be revised by the Commission before 1 July 1995.</w:t>
      </w:r>
    </w:p>
  </w:footnote>
  <w:footnote w:id="3">
    <w:p>
      <w:pPr>
        <w:pStyle w:val="FootnoteText"/>
        <w:rPr/>
      </w:pPr>
      <w:r>
        <w:rPr>
          <w:rStyle w:val="FootnoteCharacters"/>
        </w:rPr>
        <w:footnoteRef/>
      </w:r>
      <w:r>
        <w:rPr/>
        <w:t xml:space="preserve"> </w:t>
      </w:r>
      <w:r>
        <w:rPr/>
        <w:t>In the co-decision procedure, once the Commission has sent its proposal to Parliament, the latter adopts a legislative text in First Reading. The Council may then agree with the text, being adopted, or not. If it does not it establishes a Common Position which is later sent to Parliament for Second Reading. The Council considers the text adopted in Second Reading. If it does not agree with it a conciliation procedure will start.</w:t>
      </w:r>
    </w:p>
  </w:footnote>
  <w:footnote w:id="4">
    <w:p>
      <w:pPr>
        <w:pStyle w:val="BodyText"/>
        <w:rPr/>
      </w:pPr>
      <w:r>
        <w:rPr>
          <w:rStyle w:val="FootnoteCharacters"/>
        </w:rPr>
        <w:footnoteRef/>
      </w:r>
      <w:r>
        <w:rPr/>
        <w:t xml:space="preserve"> </w:t>
      </w:r>
      <w:r>
        <w:rPr>
          <w:sz w:val="20"/>
        </w:rPr>
        <w:t>The trialogue is the first step of the Conciliation procedure. It is an informal meeting between the Parliament, the Council and the Commission arranged when the Council is ready to present its position on the EP amendments. It aims to discuss positions and propose compromises, subject to subsequent approval in the respective delegations. Compromises are often found during these preparatory discussions.</w:t>
      </w:r>
    </w:p>
    <w:p>
      <w:pPr>
        <w:pStyle w:val="FootnoteText"/>
        <w:rPr/>
      </w:pPr>
      <w:r>
        <w:rPr/>
      </w:r>
    </w:p>
  </w:footnote>
  <w:footnote w:id="5">
    <w:p>
      <w:pPr>
        <w:pStyle w:val="FootnoteText"/>
        <w:rPr/>
      </w:pPr>
      <w:r>
        <w:rPr>
          <w:rStyle w:val="FootnoteCharacters"/>
        </w:rPr>
        <w:footnoteRef/>
      </w:r>
      <w:r>
        <w:rPr/>
        <w:t xml:space="preserve"> </w:t>
      </w:r>
      <w:r>
        <w:rPr/>
        <w:t>In June 2000 the Commission launched the European Climate Change Programme (ECCP), to identify and develop all the necessary elements of an EU strategy to implement the Kyoto Protocol. The ECCP is preparing a range of EU-level policies and measures to cut greenhouse gas emissions as well as an emissions trading scheme that could start operating within the EU by 2005.</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153" w:leader="none"/>
        <w:tab w:val="left" w:pos="8165" w:leader="none"/>
        <w:tab w:val="right" w:pos="8306" w:leader="none"/>
      </w:tabs>
      <w:rPr>
        <w:rFonts w:ascii="Arial" w:hAnsi="Arial" w:cs="Arial"/>
        <w:sz w:val="16"/>
        <w:lang w:val="en-CA"/>
      </w:rPr>
    </w:pPr>
    <w:r>
      <w:rPr>
        <w:rFonts w:cs="Arial" w:ascii="Arial" w:hAnsi="Arial"/>
        <w:sz w:val="16"/>
        <w:lang w:val="en-CA"/>
      </w:rPr>
    </w:r>
    <w:r>
      <mc:AlternateContent>
        <mc:Choice Requires="wps">
          <w:drawing>
            <wp:anchor behindDoc="1" distT="0" distB="0" distL="114935" distR="114935" simplePos="0" locked="0" layoutInCell="1" allowOverlap="1" relativeHeight="2">
              <wp:simplePos x="0" y="0"/>
              <wp:positionH relativeFrom="column">
                <wp:posOffset>4215130</wp:posOffset>
              </wp:positionH>
              <wp:positionV relativeFrom="paragraph">
                <wp:posOffset>346075</wp:posOffset>
              </wp:positionV>
              <wp:extent cx="2011680" cy="784860"/>
              <wp:effectExtent l="0" t="0" r="0" b="0"/>
              <wp:wrapNone/>
              <wp:docPr id="1" name="Frame1"/>
              <a:graphic xmlns:a="http://schemas.openxmlformats.org/drawingml/2006/main">
                <a:graphicData uri="http://schemas.microsoft.com/office/word/2010/wordprocessingShape">
                  <wps:wsp>
                    <wps:cNvSpPr txBox="1"/>
                    <wps:spPr>
                      <a:xfrm>
                        <a:off x="0" y="0"/>
                        <a:ext cx="2011680" cy="78486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158.4pt;height:61.8pt;mso-wrap-distance-left:9.05pt;mso-wrap-distance-right:9.05pt;mso-wrap-distance-top:0pt;mso-wrap-distance-bottom:0pt;margin-top:27.25pt;mso-position-vertical-relative:text;margin-left:331.9pt;mso-position-horizontal-relative:text">
              <v:textbox inset="0.100694444444444in,0.0506944444444444in,0.100694444444444in,0.0506944444444444in">
                <w:txbxContent>
                  <w:p>
                    <w:pPr>
                      <w:pStyle w:val="Normal"/>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color w:val="800000"/>
      </w:rPr>
    </w:lvl>
  </w:abstractNum>
  <w:abstractNum w:abstractNumId="3">
    <w:lvl w:ilvl="0">
      <w:start w:val="1"/>
      <w:numFmt w:val="bullet"/>
      <w:lvlText w:val=""/>
      <w:lvlJc w:val="start"/>
      <w:pPr>
        <w:tabs>
          <w:tab w:val="num" w:pos="360"/>
        </w:tabs>
        <w:ind w:start="360" w:hanging="360"/>
      </w:pPr>
      <w:rPr>
        <w:rFonts w:ascii="Symbol" w:hAnsi="Symbol" w:cs="Symbol" w:hint="default"/>
        <w:color w:val="800000"/>
      </w:rPr>
    </w:lvl>
  </w:abstractNum>
  <w:abstractNum w:abstractNumId="4">
    <w:lvl w:ilvl="0">
      <w:start w:val="1"/>
      <w:numFmt w:val="bullet"/>
      <w:lvlText w:val=""/>
      <w:lvlJc w:val="start"/>
      <w:pPr>
        <w:tabs>
          <w:tab w:val="num" w:pos="360"/>
        </w:tabs>
        <w:ind w:start="360" w:hanging="360"/>
      </w:pPr>
      <w:rPr>
        <w:rFonts w:ascii="Symbol" w:hAnsi="Symbol" w:cs="Symbol" w:hint="default"/>
        <w:color w:val="800000"/>
      </w:rPr>
    </w:lvl>
  </w:abstractNum>
  <w:abstractNum w:abstractNumId="5">
    <w:lvl w:ilvl="0">
      <w:numFmt w:val="bullet"/>
      <w:lvlText w:val="-"/>
      <w:lvlJc w:val="start"/>
      <w:pPr>
        <w:tabs>
          <w:tab w:val="num" w:pos="1215"/>
        </w:tabs>
        <w:ind w:start="1215" w:hanging="360"/>
      </w:pPr>
      <w:rPr>
        <w:rFonts w:ascii="Liberation Serif" w:hAnsi="Liberation Serif" w:cs="Liberation Serif" w:hint="default"/>
      </w:rPr>
    </w:lvl>
  </w:abstractNum>
  <w:abstractNum w:abstractNumId="6">
    <w:lvl w:ilvl="0">
      <w:start w:val="1"/>
      <w:numFmt w:val="bullet"/>
      <w:lvlText w:val=""/>
      <w:lvlJc w:val="start"/>
      <w:pPr>
        <w:tabs>
          <w:tab w:val="num" w:pos="360"/>
        </w:tabs>
        <w:ind w:start="360" w:hanging="360"/>
      </w:pPr>
      <w:rPr>
        <w:rFonts w:ascii="Symbol" w:hAnsi="Symbol" w:cs="Symbol" w:hint="default"/>
        <w:color w:val="800000"/>
      </w:rPr>
    </w:lvl>
  </w:abstractNum>
  <w:abstractNum w:abstractNumId="7">
    <w:lvl w:ilvl="0">
      <w:numFmt w:val="bullet"/>
      <w:lvlText w:val="-"/>
      <w:lvlJc w:val="start"/>
      <w:pPr>
        <w:tabs>
          <w:tab w:val="num" w:pos="1215"/>
        </w:tabs>
        <w:ind w:start="1215" w:hanging="360"/>
      </w:pPr>
      <w:rPr>
        <w:rFonts w:ascii="Liberation Serif" w:hAnsi="Liberation Serif" w:cs="Liberation Serif" w:hint="default"/>
      </w:rPr>
    </w:lvl>
  </w:abstractNum>
  <w:abstractNum w:abstractNumId="8">
    <w:lvl w:ilvl="0">
      <w:start w:val="1"/>
      <w:numFmt w:val="bullet"/>
      <w:lvlText w:val=""/>
      <w:lvlJc w:val="start"/>
      <w:pPr>
        <w:tabs>
          <w:tab w:val="num" w:pos="360"/>
        </w:tabs>
        <w:ind w:start="360" w:hanging="360"/>
      </w:pPr>
      <w:rPr>
        <w:rFonts w:ascii="Symbol" w:hAnsi="Symbol" w:cs="Symbol" w:hint="default"/>
        <w:color w:val="800000"/>
      </w:rPr>
    </w:lvl>
  </w:abstractNum>
  <w:abstractNum w:abstractNumId="9">
    <w:lvl w:ilvl="0">
      <w:start w:val="1"/>
      <w:numFmt w:val="bullet"/>
      <w:lvlText w:val=""/>
      <w:lvlJc w:val="start"/>
      <w:pPr>
        <w:tabs>
          <w:tab w:val="num" w:pos="360"/>
        </w:tabs>
        <w:ind w:start="360" w:hanging="360"/>
      </w:pPr>
      <w:rPr>
        <w:rFonts w:ascii="Symbol" w:hAnsi="Symbol" w:cs="Symbol" w:hint="default"/>
        <w:color w:val="800000"/>
      </w:rPr>
    </w:lvl>
  </w:abstractNum>
  <w:abstractNum w:abstractNumId="10">
    <w:lvl w:ilvl="0">
      <w:start w:val="1"/>
      <w:numFmt w:val="bullet"/>
      <w:lvlText w:val=""/>
      <w:lvlJc w:val="start"/>
      <w:pPr>
        <w:tabs>
          <w:tab w:val="num" w:pos="360"/>
        </w:tabs>
        <w:ind w:start="360" w:hanging="360"/>
      </w:pPr>
      <w:rPr>
        <w:rFonts w:ascii="Symbol" w:hAnsi="Symbol" w:cs="Symbol" w:hint="default"/>
        <w:color w:val="800000"/>
      </w:rPr>
    </w:lvl>
  </w:abstractNum>
  <w:abstractNum w:abstractNumId="11">
    <w:lvl w:ilvl="0">
      <w:start w:val="1"/>
      <w:numFmt w:val="bullet"/>
      <w:lvlText w:val=""/>
      <w:lvlJc w:val="start"/>
      <w:pPr>
        <w:tabs>
          <w:tab w:val="num" w:pos="360"/>
        </w:tabs>
        <w:ind w:start="360" w:hanging="360"/>
      </w:pPr>
      <w:rPr>
        <w:rFonts w:ascii="Symbol" w:hAnsi="Symbol" w:cs="Symbol" w:hint="default"/>
        <w:color w:val="800000"/>
      </w:rPr>
    </w:lvl>
  </w:abstractNum>
  <w:abstractNum w:abstractNumId="12">
    <w:lvl w:ilvl="0">
      <w:start w:val="1"/>
      <w:numFmt w:val="bullet"/>
      <w:lvlText w:val=""/>
      <w:lvlJc w:val="start"/>
      <w:pPr>
        <w:tabs>
          <w:tab w:val="num" w:pos="360"/>
        </w:tabs>
        <w:ind w:start="360" w:hanging="360"/>
      </w:pPr>
      <w:rPr>
        <w:rFonts w:ascii="Symbol" w:hAnsi="Symbol" w:cs="Symbol" w:hint="default"/>
        <w:color w:val="800000"/>
      </w:rPr>
    </w:lvl>
  </w:abstractNum>
  <w:abstractNum w:abstractNumId="13">
    <w:lvl w:ilvl="0">
      <w:numFmt w:val="bullet"/>
      <w:lvlText w:val="-"/>
      <w:lvlJc w:val="start"/>
      <w:pPr>
        <w:tabs>
          <w:tab w:val="num" w:pos="1215"/>
        </w:tabs>
        <w:ind w:start="1215" w:hanging="360"/>
      </w:pPr>
      <w:rPr>
        <w:rFonts w:ascii="Liberation Serif" w:hAnsi="Liberation Serif" w:cs="Liberation Serif" w:hint="default"/>
      </w:rPr>
    </w:lvl>
  </w:abstractNum>
  <w:abstractNum w:abstractNumId="14">
    <w:lvl w:ilvl="0">
      <w:start w:val="1"/>
      <w:numFmt w:val="bullet"/>
      <w:lvlText w:val=""/>
      <w:lvlJc w:val="start"/>
      <w:pPr>
        <w:tabs>
          <w:tab w:val="num" w:pos="360"/>
        </w:tabs>
        <w:ind w:start="360" w:hanging="360"/>
      </w:pPr>
      <w:rPr>
        <w:rFonts w:ascii="Symbol" w:hAnsi="Symbol" w:cs="Symbol" w:hint="default"/>
        <w:color w:val="8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b/>
      <w:sz w:val="24"/>
      <w:lang w:val="en-US"/>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lang w:val="en-US"/>
    </w:rPr>
  </w:style>
  <w:style w:type="paragraph" w:styleId="Heading3">
    <w:name w:val="heading 3"/>
    <w:basedOn w:val="Normal"/>
    <w:next w:val="Normal"/>
    <w:qFormat/>
    <w:pPr>
      <w:keepNext w:val="true"/>
      <w:numPr>
        <w:ilvl w:val="2"/>
        <w:numId w:val="1"/>
      </w:numPr>
      <w:spacing w:before="120" w:after="60"/>
      <w:outlineLvl w:val="2"/>
    </w:pPr>
    <w:rPr>
      <w:b/>
      <w:i/>
      <w:sz w:val="24"/>
    </w:rPr>
  </w:style>
  <w:style w:type="character" w:styleId="WW8Num1z0">
    <w:name w:val="WW8Num1z0"/>
    <w:qFormat/>
    <w:rPr>
      <w:rFonts w:ascii="Symbol" w:hAnsi="Symbol" w:cs="Symbol"/>
      <w:color w:val="800000"/>
    </w:rPr>
  </w:style>
  <w:style w:type="character" w:styleId="WW8Num2z0">
    <w:name w:val="WW8Num2z0"/>
    <w:qFormat/>
    <w:rPr>
      <w:rFonts w:ascii="Symbol" w:hAnsi="Symbol" w:cs="Symbol"/>
      <w:color w:val="800000"/>
    </w:rPr>
  </w:style>
  <w:style w:type="character" w:styleId="WW8Num3z0">
    <w:name w:val="WW8Num3z0"/>
    <w:qFormat/>
    <w:rPr>
      <w:rFonts w:ascii="Symbol" w:hAnsi="Symbol" w:cs="Symbol"/>
      <w:color w:val="800000"/>
    </w:rPr>
  </w:style>
  <w:style w:type="character" w:styleId="WW8Num4z0">
    <w:name w:val="WW8Num4z0"/>
    <w:qFormat/>
    <w:rPr/>
  </w:style>
  <w:style w:type="character" w:styleId="WW8Num5z0">
    <w:name w:val="WW8Num5z0"/>
    <w:qFormat/>
    <w:rPr>
      <w:rFonts w:ascii="Symbol" w:hAnsi="Symbol" w:cs="Symbol"/>
      <w:color w:val="800000"/>
    </w:rPr>
  </w:style>
  <w:style w:type="character" w:styleId="WW8Num6z0">
    <w:name w:val="WW8Num6z0"/>
    <w:qFormat/>
    <w:rPr/>
  </w:style>
  <w:style w:type="character" w:styleId="WW8Num7z0">
    <w:name w:val="WW8Num7z0"/>
    <w:qFormat/>
    <w:rPr>
      <w:rFonts w:ascii="Symbol" w:hAnsi="Symbol" w:cs="Symbol"/>
      <w:color w:val="800000"/>
    </w:rPr>
  </w:style>
  <w:style w:type="character" w:styleId="WW8Num8z0">
    <w:name w:val="WW8Num8z0"/>
    <w:qFormat/>
    <w:rPr>
      <w:rFonts w:ascii="Symbol" w:hAnsi="Symbol" w:cs="Symbol"/>
      <w:color w:val="800000"/>
    </w:rPr>
  </w:style>
  <w:style w:type="character" w:styleId="WW8Num9z0">
    <w:name w:val="WW8Num9z0"/>
    <w:qFormat/>
    <w:rPr>
      <w:rFonts w:ascii="Symbol" w:hAnsi="Symbol" w:cs="Symbol"/>
      <w:color w:val="800000"/>
    </w:rPr>
  </w:style>
  <w:style w:type="character" w:styleId="WW8Num10z0">
    <w:name w:val="WW8Num10z0"/>
    <w:qFormat/>
    <w:rPr>
      <w:rFonts w:ascii="Symbol" w:hAnsi="Symbol" w:cs="Symbol"/>
      <w:color w:val="800000"/>
    </w:rPr>
  </w:style>
  <w:style w:type="character" w:styleId="WW8Num11z0">
    <w:name w:val="WW8Num11z0"/>
    <w:qFormat/>
    <w:rPr>
      <w:rFonts w:ascii="Symbol" w:hAnsi="Symbol" w:cs="Symbol"/>
      <w:color w:val="800000"/>
    </w:rPr>
  </w:style>
  <w:style w:type="character" w:styleId="WW8Num12z0">
    <w:name w:val="WW8Num12z0"/>
    <w:qFormat/>
    <w:rPr/>
  </w:style>
  <w:style w:type="character" w:styleId="WW8Num13z0">
    <w:name w:val="WW8Num13z0"/>
    <w:qFormat/>
    <w:rPr>
      <w:rFonts w:ascii="Symbol" w:hAnsi="Symbol" w:cs="Symbol"/>
      <w:color w:val="800000"/>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lang w:val="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lang w:val="en-US"/>
    </w:rPr>
  </w:style>
  <w:style w:type="paragraph" w:styleId="Footer">
    <w:name w:val="footer"/>
    <w:basedOn w:val="Normal"/>
    <w:pPr>
      <w:tabs>
        <w:tab w:val="clear" w:pos="720"/>
        <w:tab w:val="center" w:pos="4153" w:leader="none"/>
        <w:tab w:val="right" w:pos="8306" w:leader="none"/>
      </w:tabs>
    </w:pPr>
    <w:rPr>
      <w:lang w:val="en-US"/>
    </w:rPr>
  </w:style>
  <w:style w:type="paragraph" w:styleId="FootnoteText">
    <w:name w:val="footnote text"/>
    <w:basedOn w:val="Normal"/>
    <w:pPr/>
    <w:rPr/>
  </w:style>
  <w:style w:type="paragraph" w:styleId="BodyText2">
    <w:name w:val="Body Text 2"/>
    <w:basedOn w:val="Normal"/>
    <w:qFormat/>
    <w:pPr/>
    <w:rPr>
      <w:sz w:val="24"/>
      <w:lang w:val="en-US"/>
    </w:rPr>
  </w:style>
  <w:style w:type="paragraph" w:styleId="BodyText3">
    <w:name w:val="Body Text 3"/>
    <w:basedOn w:val="Normal"/>
    <w:qFormat/>
    <w:pPr>
      <w:jc w:val="both"/>
    </w:pPr>
    <w:rPr>
      <w:sz w:val="22"/>
      <w:lang w:val="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2001-04-25T09:10:00Z</dcterms:created>
  <dc:creator>ndindaro</dc:creator>
  <dc:description/>
  <dc:language>en-CA</dc:language>
  <cp:lastModifiedBy>ndindaro</cp:lastModifiedBy>
  <dcterms:modified xsi:type="dcterms:W3CDTF">2001-04-25T09:49:00Z</dcterms:modified>
  <cp:revision>1</cp:revision>
  <dc:subject/>
  <dc:title>EU legislation in force and under preparation</dc:title>
</cp:coreProperties>
</file>