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jc w:val="center"/>
        <w:rPr>
          <w:rFonts w:ascii="Arial" w:hAnsi="Arial" w:cs="Arial"/>
          <w:sz w:val="18"/>
        </w:rPr>
      </w:pPr>
      <w:r>
        <w:rPr>
          <w:rFonts w:cs="Arial" w:ascii="Arial" w:hAnsi="Arial"/>
          <w:b/>
          <w:bCs/>
          <w:color w:val="000000"/>
          <w:sz w:val="18"/>
          <w:szCs w:val="36"/>
        </w:rPr>
        <w:t>NOx SIP Call Background</w:t>
      </w:r>
    </w:p>
    <w:p>
      <w:pPr>
        <w:pStyle w:val="NormalWeb"/>
        <w:rPr/>
      </w:pPr>
      <w:r>
        <w:rPr>
          <w:rFonts w:cs="Arial" w:ascii="Arial" w:hAnsi="Arial"/>
          <w:color w:val="000000"/>
          <w:sz w:val="18"/>
        </w:rPr>
        <w:t>The EPA issued the SIP call in October 1998, requiring the 22 affected states and the District of Columbia to revise their State Implementation Plans to lower NOx emissions. The EPA assigned each state a tonnage cap based on a projected NOx emission rate of 0.15 lb per MMBtu for electricity generating units. The EPA couldnot tell the states how to meet their caps, but it has said that it will implement Federal Implementation Plans (FIPs) for those states that fail to do so. EPA also strongly encouraged states to participate in a regional NOx trading program, and released a model trading rule that states could use to design their own programs. The EPA set a deadline of September 30, 1999 for submission of State Implementation Plan revisions. However, eight states challenging the rule asked the U.S. Court of Appeals for the D.C. Circuit to stay the due date for the state plans; as an interim measure, the court issued an indefinite stay on May 25, 1999. On September 18, 2000, EPA stayed the NOx SIP Call as it applied for the 8-hour ozone standard while litigation on that standard proceeds. On March 3, 2000, the U.S. Court of Appeals for the D.C. Circuit issued an opinion largely upholding the NOx SIP Call. In the opinion, the Court:</w:t>
      </w:r>
      <w:r>
        <w:rPr>
          <w:rFonts w:cs="Arial" w:ascii="Arial" w:hAnsi="Arial"/>
          <w:sz w:val="18"/>
        </w:rPr>
        <w:t xml:space="preserve"> </w:t>
      </w:r>
    </w:p>
    <w:p>
      <w:pPr>
        <w:pStyle w:val="Normal"/>
        <w:numPr>
          <w:ilvl w:val="0"/>
          <w:numId w:val="6"/>
        </w:numPr>
        <w:spacing w:before="100" w:after="100"/>
        <w:rPr>
          <w:rFonts w:ascii="Arial" w:hAnsi="Arial" w:cs="Arial"/>
          <w:sz w:val="18"/>
        </w:rPr>
      </w:pPr>
      <w:r>
        <w:rPr>
          <w:rFonts w:cs="Arial" w:ascii="Arial" w:hAnsi="Arial"/>
          <w:color w:val="000000"/>
          <w:sz w:val="18"/>
        </w:rPr>
        <w:t>Upheld EPA’s approach to determining whether an upwind state significantly contributes to smog problems in a downwind state.</w:t>
      </w:r>
      <w:r>
        <w:rPr>
          <w:rFonts w:cs="Arial" w:ascii="Arial" w:hAnsi="Arial"/>
          <w:sz w:val="18"/>
        </w:rPr>
        <w:t xml:space="preserve"> </w:t>
      </w:r>
    </w:p>
    <w:p>
      <w:pPr>
        <w:pStyle w:val="Normal"/>
        <w:numPr>
          <w:ilvl w:val="0"/>
          <w:numId w:val="1"/>
        </w:numPr>
        <w:spacing w:before="100" w:after="100"/>
        <w:rPr>
          <w:rFonts w:ascii="Arial" w:hAnsi="Arial" w:cs="Arial"/>
          <w:sz w:val="18"/>
        </w:rPr>
      </w:pPr>
      <w:r>
        <w:rPr>
          <w:rFonts w:cs="Arial" w:ascii="Arial" w:hAnsi="Arial"/>
          <w:color w:val="000000"/>
          <w:sz w:val="18"/>
        </w:rPr>
        <w:t>Found that EPA had sufficiently analyzed individual states’ emissions in determining which states significantly contribute to smog downwind.</w:t>
      </w:r>
      <w:r>
        <w:rPr>
          <w:rFonts w:cs="Arial" w:ascii="Arial" w:hAnsi="Arial"/>
          <w:sz w:val="18"/>
        </w:rPr>
        <w:t xml:space="preserve"> </w:t>
      </w:r>
    </w:p>
    <w:p>
      <w:pPr>
        <w:pStyle w:val="Normal"/>
        <w:numPr>
          <w:ilvl w:val="0"/>
          <w:numId w:val="5"/>
        </w:numPr>
        <w:spacing w:before="100" w:after="100"/>
        <w:rPr>
          <w:rFonts w:ascii="Arial" w:hAnsi="Arial" w:cs="Arial"/>
          <w:sz w:val="18"/>
        </w:rPr>
      </w:pPr>
      <w:r>
        <w:rPr>
          <w:rFonts w:cs="Arial" w:ascii="Arial" w:hAnsi="Arial"/>
          <w:color w:val="000000"/>
          <w:sz w:val="18"/>
        </w:rPr>
        <w:t>Upheld EPA’s basic approach to determining how much a state needs to cut its NOx emissions to reduce its significant contribution to downwind air quality problems. EPA’s approach was to require states that contribute to downwind air quality problems to make reductions that are "highly cost-effective" (i.e., that cost $2000/ton or less).</w:t>
      </w:r>
      <w:r>
        <w:rPr>
          <w:rFonts w:cs="Arial" w:ascii="Arial" w:hAnsi="Arial"/>
          <w:sz w:val="18"/>
        </w:rPr>
        <w:t xml:space="preserve"> </w:t>
      </w:r>
    </w:p>
    <w:p>
      <w:pPr>
        <w:pStyle w:val="Normal"/>
        <w:numPr>
          <w:ilvl w:val="0"/>
          <w:numId w:val="4"/>
        </w:numPr>
        <w:spacing w:before="100" w:after="100"/>
        <w:rPr>
          <w:rFonts w:ascii="Arial" w:hAnsi="Arial" w:cs="Arial"/>
          <w:sz w:val="18"/>
        </w:rPr>
      </w:pPr>
      <w:r>
        <w:rPr>
          <w:rFonts w:cs="Arial" w:ascii="Arial" w:hAnsi="Arial"/>
          <w:color w:val="000000"/>
          <w:sz w:val="18"/>
        </w:rPr>
        <w:t>Found that EPA’s approach did not impermissibly intrude on the statutory right of states to develop clean air plans.</w:t>
      </w:r>
      <w:r>
        <w:rPr>
          <w:rFonts w:cs="Arial" w:ascii="Arial" w:hAnsi="Arial"/>
          <w:sz w:val="18"/>
        </w:rPr>
        <w:t xml:space="preserve"> </w:t>
      </w:r>
    </w:p>
    <w:p>
      <w:pPr>
        <w:pStyle w:val="Normal"/>
        <w:numPr>
          <w:ilvl w:val="0"/>
          <w:numId w:val="3"/>
        </w:numPr>
        <w:spacing w:before="100" w:after="100"/>
        <w:rPr>
          <w:rFonts w:ascii="Arial" w:hAnsi="Arial" w:cs="Arial"/>
          <w:sz w:val="18"/>
        </w:rPr>
      </w:pPr>
      <w:r>
        <w:rPr>
          <w:rFonts w:cs="Arial" w:ascii="Arial" w:hAnsi="Arial"/>
          <w:color w:val="000000"/>
          <w:sz w:val="18"/>
        </w:rPr>
        <w:t>The Court upheld the rule for 19 states and D.C., but vacated it for Wisconsin, Georgia and Missouri, sending the portions of the rule focusing on those states back to EPA for further rulemaking. The Court found that the record did not support the inclusion of Wisconsin in the SIP Call. The Court also found the record did not support including Georgia and Missouri in full.</w:t>
      </w:r>
      <w:r>
        <w:rPr>
          <w:rFonts w:cs="Arial" w:ascii="Arial" w:hAnsi="Arial"/>
          <w:sz w:val="18"/>
        </w:rPr>
        <w:t xml:space="preserve"> </w:t>
      </w:r>
    </w:p>
    <w:p>
      <w:pPr>
        <w:pStyle w:val="Normal"/>
        <w:numPr>
          <w:ilvl w:val="0"/>
          <w:numId w:val="2"/>
        </w:numPr>
        <w:spacing w:before="100" w:after="100"/>
        <w:rPr>
          <w:rFonts w:ascii="Arial" w:hAnsi="Arial" w:cs="Arial"/>
          <w:sz w:val="18"/>
        </w:rPr>
      </w:pPr>
      <w:r>
        <w:rPr>
          <w:rFonts w:cs="Arial" w:ascii="Arial" w:hAnsi="Arial"/>
          <w:color w:val="000000"/>
          <w:sz w:val="18"/>
        </w:rPr>
        <w:t>The Court also found that EPA had not provided adequate notice before including a small class of units in its definition of electric generating unit. In addition, the Court found that EPA had not provided adequate notice on the reduction level assumed for large, stationary internal combustion engines.</w:t>
      </w:r>
      <w:r>
        <w:rPr>
          <w:rFonts w:cs="Arial" w:ascii="Arial" w:hAnsi="Arial"/>
          <w:sz w:val="18"/>
        </w:rPr>
        <w:t xml:space="preserve"> </w:t>
      </w:r>
    </w:p>
    <w:p>
      <w:pPr>
        <w:pStyle w:val="NormalWeb"/>
        <w:spacing w:before="0" w:after="0"/>
        <w:rPr>
          <w:rFonts w:ascii="Arial" w:hAnsi="Arial" w:cs="Arial"/>
          <w:sz w:val="18"/>
        </w:rPr>
      </w:pPr>
      <w:r>
        <w:rPr>
          <w:rFonts w:cs="Arial" w:ascii="Arial" w:hAnsi="Arial"/>
          <w:color w:val="000000"/>
          <w:sz w:val="18"/>
        </w:rPr>
        <w:t>On April 11, 2000, EPA asked the U.S. Court of Appeals for the D.C. Circuit to end the stay of the date by which states are required to submit their SIPs. As an interim measure, the Court stayed the due date for the plans in May 1999 until it could consider arguments on challenges to the NOx SIP Call. The Court lifted the stay on June 22, 2000, requiring the now 19 affected states to submit revised SIPs in two phases: The first phase plans, which were due Oct. 30, 2000, must contain the measures the states will use to address the portion of the NOx budgets not affected by the Court’s decision. The EPA is proposing a range of dates for the 19 states and the District of Columbia subject to Phase II to submit to EPA their plans for meeting the strategy’s requirements: 128 days through 1 year from final promulgation but no later than April 1, 2002. This date would also apply for Georgia and Missouri’s full NOx SIP Call submittal. Based on an August 30, 2000 ruling from the Court, the compliance date for implementation of Phase I will be May 31, 2004.</w:t>
      </w:r>
    </w:p>
    <w:p>
      <w:pPr>
        <w:pStyle w:val="NormalWeb"/>
        <w:spacing w:before="0" w:after="0"/>
        <w:rPr>
          <w:rFonts w:ascii="Arial" w:hAnsi="Arial" w:cs="Arial"/>
          <w:b/>
          <w:bCs/>
          <w:color w:val="000000"/>
          <w:sz w:val="18"/>
        </w:rPr>
      </w:pPr>
      <w:r>
        <w:rPr>
          <w:rFonts w:cs="Arial" w:ascii="Arial" w:hAnsi="Arial"/>
          <w:b/>
          <w:bCs/>
          <w:color w:val="000000"/>
          <w:sz w:val="18"/>
        </w:rPr>
      </w:r>
    </w:p>
    <w:p>
      <w:pPr>
        <w:pStyle w:val="NormalWeb"/>
        <w:rPr/>
      </w:pPr>
      <w:r>
        <w:rPr>
          <w:rFonts w:cs="Arial" w:ascii="Arial" w:hAnsi="Arial"/>
          <w:sz w:val="18"/>
        </w:rPr>
        <w:t>On January 5, 2001 the Environmental Protection Agency released for comment a proposed revision of the NO</w:t>
      </w:r>
      <w:r>
        <w:rPr>
          <w:rFonts w:cs="Arial" w:ascii="Arial" w:hAnsi="Arial"/>
          <w:sz w:val="18"/>
          <w:vertAlign w:val="subscript"/>
        </w:rPr>
        <w:t>x</w:t>
      </w:r>
      <w:r>
        <w:rPr>
          <w:rFonts w:cs="Arial" w:ascii="Arial" w:hAnsi="Arial"/>
          <w:sz w:val="18"/>
        </w:rPr>
        <w:t xml:space="preserve"> SIP call. The revisions come in response to the March 3, 2000 ruling by the U.S. Court of Appeals for the D.C. Circuit, which upheld the NO</w:t>
      </w:r>
      <w:r>
        <w:rPr>
          <w:rFonts w:cs="Arial" w:ascii="Arial" w:hAnsi="Arial"/>
          <w:sz w:val="18"/>
          <w:vertAlign w:val="subscript"/>
        </w:rPr>
        <w:t>x</w:t>
      </w:r>
      <w:r>
        <w:rPr>
          <w:rFonts w:cs="Arial" w:ascii="Arial" w:hAnsi="Arial"/>
          <w:sz w:val="18"/>
        </w:rPr>
        <w:t xml:space="preserve"> SIP call, but called for further EPA action on several topics. The current proposal addresses:</w:t>
      </w:r>
    </w:p>
    <w:p>
      <w:pPr>
        <w:pStyle w:val="Normal"/>
        <w:numPr>
          <w:ilvl w:val="0"/>
          <w:numId w:val="7"/>
        </w:numPr>
        <w:spacing w:before="100" w:after="100"/>
        <w:rPr>
          <w:rFonts w:ascii="Arial" w:hAnsi="Arial" w:cs="Arial"/>
          <w:sz w:val="18"/>
        </w:rPr>
      </w:pPr>
      <w:r>
        <w:rPr>
          <w:rFonts w:cs="Arial" w:ascii="Arial" w:hAnsi="Arial"/>
          <w:sz w:val="18"/>
        </w:rPr>
        <w:t xml:space="preserve">Definitions for EGU's and non-EGU's </w:t>
      </w:r>
    </w:p>
    <w:p>
      <w:pPr>
        <w:pStyle w:val="Normal"/>
        <w:numPr>
          <w:ilvl w:val="0"/>
          <w:numId w:val="7"/>
        </w:numPr>
        <w:spacing w:before="100" w:after="100"/>
        <w:rPr>
          <w:rFonts w:ascii="Arial" w:hAnsi="Arial" w:cs="Arial"/>
          <w:sz w:val="18"/>
        </w:rPr>
      </w:pPr>
      <w:r>
        <w:rPr>
          <w:rFonts w:cs="Arial" w:ascii="Arial" w:hAnsi="Arial"/>
          <w:sz w:val="18"/>
        </w:rPr>
        <w:t xml:space="preserve">Pollution control levels for stationary internal combustion engines </w:t>
      </w:r>
    </w:p>
    <w:p>
      <w:pPr>
        <w:pStyle w:val="Normal"/>
        <w:numPr>
          <w:ilvl w:val="0"/>
          <w:numId w:val="7"/>
        </w:numPr>
        <w:spacing w:before="100" w:after="100"/>
        <w:rPr>
          <w:rFonts w:ascii="Arial" w:hAnsi="Arial" w:cs="Arial"/>
          <w:sz w:val="18"/>
        </w:rPr>
      </w:pPr>
      <w:r>
        <w:rPr>
          <w:rFonts w:cs="Arial" w:ascii="Arial" w:hAnsi="Arial"/>
          <w:sz w:val="18"/>
        </w:rPr>
        <w:t xml:space="preserve">Geographic boundaries for SIPs in four states </w:t>
      </w:r>
    </w:p>
    <w:p>
      <w:pPr>
        <w:pStyle w:val="Normal"/>
        <w:numPr>
          <w:ilvl w:val="0"/>
          <w:numId w:val="7"/>
        </w:numPr>
        <w:spacing w:before="100" w:after="100"/>
        <w:rPr>
          <w:rFonts w:ascii="Arial" w:hAnsi="Arial" w:cs="Arial"/>
          <w:sz w:val="18"/>
        </w:rPr>
      </w:pPr>
      <w:r>
        <w:rPr>
          <w:rFonts w:cs="Arial" w:ascii="Arial" w:hAnsi="Arial"/>
          <w:sz w:val="18"/>
        </w:rPr>
        <w:t xml:space="preserve">Deadlines for submittal of Phase II SIPs from states </w:t>
      </w:r>
    </w:p>
    <w:p>
      <w:pPr>
        <w:pStyle w:val="Normal"/>
        <w:numPr>
          <w:ilvl w:val="0"/>
          <w:numId w:val="7"/>
        </w:numPr>
        <w:spacing w:before="100" w:after="100"/>
        <w:rPr>
          <w:rFonts w:ascii="Arial" w:hAnsi="Arial" w:cs="Arial"/>
          <w:sz w:val="18"/>
        </w:rPr>
      </w:pPr>
      <w:r>
        <w:rPr>
          <w:rFonts w:cs="Arial" w:ascii="Arial" w:hAnsi="Arial"/>
          <w:sz w:val="18"/>
        </w:rPr>
        <w:t xml:space="preserve">Exclusion of Wisconsin from SIP requirements </w:t>
      </w:r>
    </w:p>
    <w:p>
      <w:pPr>
        <w:pStyle w:val="NormalWeb"/>
        <w:spacing w:before="0" w:after="0"/>
        <w:rPr>
          <w:rFonts w:ascii="Arial" w:hAnsi="Arial" w:cs="Arial"/>
          <w:b/>
          <w:bCs/>
          <w:sz w:val="18"/>
        </w:rPr>
      </w:pPr>
      <w:r>
        <w:rPr>
          <w:rFonts w:cs="Arial" w:ascii="Arial" w:hAnsi="Arial"/>
          <w:b/>
          <w:bCs/>
          <w:sz w:val="18"/>
        </w:rPr>
      </w:r>
    </w:p>
    <w:p>
      <w:pPr>
        <w:pStyle w:val="NormalWeb"/>
        <w:spacing w:before="0" w:after="0"/>
        <w:rPr>
          <w:rFonts w:ascii="Arial" w:hAnsi="Arial" w:cs="Arial"/>
          <w:b/>
          <w:bCs/>
          <w:sz w:val="18"/>
        </w:rPr>
      </w:pPr>
      <w:r>
        <w:rPr>
          <w:rFonts w:cs="Arial" w:ascii="Arial" w:hAnsi="Arial"/>
          <w:b/>
          <w:bCs/>
          <w:sz w:val="18"/>
        </w:rPr>
        <w:t>Definitions of EGU and non-EGU</w:t>
      </w:r>
    </w:p>
    <w:p>
      <w:pPr>
        <w:pStyle w:val="NormalWeb"/>
        <w:spacing w:before="0" w:after="0"/>
        <w:rPr>
          <w:rFonts w:ascii="Arial" w:hAnsi="Arial" w:cs="Arial"/>
          <w:b/>
          <w:bCs/>
          <w:sz w:val="18"/>
        </w:rPr>
      </w:pPr>
      <w:r>
        <w:rPr>
          <w:rFonts w:cs="Arial" w:ascii="Arial" w:hAnsi="Arial"/>
          <w:b/>
          <w:bCs/>
          <w:sz w:val="18"/>
        </w:rPr>
      </w:r>
    </w:p>
    <w:p>
      <w:pPr>
        <w:pStyle w:val="NormalWeb"/>
        <w:spacing w:before="0" w:after="0"/>
        <w:rPr>
          <w:rFonts w:ascii="Arial" w:hAnsi="Arial" w:cs="Arial"/>
          <w:sz w:val="18"/>
        </w:rPr>
      </w:pPr>
      <w:r>
        <w:rPr>
          <w:rFonts w:cs="Arial" w:ascii="Arial" w:hAnsi="Arial"/>
          <w:sz w:val="18"/>
        </w:rPr>
        <w:t>One of the issues remanded to the EPA in the March 3 court decision was the definition of electric generating unit (EGU). The court found that the EPA had changed the definition in the final rule without adequate notice and comment. The EPA is proposing changes which bring the SIP definitions substantially back to the previously proposed SIP call and in line with the January 18, 2000 section 126 rule.</w:t>
      </w:r>
    </w:p>
    <w:p>
      <w:pPr>
        <w:pStyle w:val="NormalWeb"/>
        <w:spacing w:before="0" w:after="0"/>
        <w:rPr>
          <w:rFonts w:ascii="Arial" w:hAnsi="Arial" w:cs="Arial"/>
          <w:sz w:val="18"/>
        </w:rPr>
      </w:pPr>
      <w:r>
        <w:rPr>
          <w:rFonts w:cs="Arial" w:ascii="Arial" w:hAnsi="Arial"/>
          <w:sz w:val="18"/>
        </w:rPr>
        <w:t>The basic definition of EGU is a unit serving a generator larger than 25 MW that sells electricity. The changes and adjustments primarily address the definition of "sells electricity" and the treatment of cogenerators. Much of this relates to a change from regulating "electric utilities" to addressing a restructured electricity market. The original SIP proposal followed a definition from Title IV of the Clean Air Act Amendments that exempted cogenerators that sold less than 1/3 of their power or less than 25 MW to the grid. It also set different criteria for electricity sales based on project start-up: For projects that started prior to 1/1/96, sale of electricity was defined as sale to the grid under a firm contract. For projects starting operation on or after 1/1/96, sales was defined as any sales to the grid.</w:t>
      </w:r>
    </w:p>
    <w:p>
      <w:pPr>
        <w:pStyle w:val="NormalWeb"/>
        <w:spacing w:before="0" w:after="0"/>
        <w:rPr>
          <w:rFonts w:ascii="Arial" w:hAnsi="Arial" w:cs="Arial"/>
          <w:sz w:val="18"/>
        </w:rPr>
      </w:pPr>
      <w:r>
        <w:rPr>
          <w:rFonts w:cs="Arial" w:ascii="Arial" w:hAnsi="Arial"/>
          <w:sz w:val="18"/>
        </w:rPr>
      </w:r>
    </w:p>
    <w:p>
      <w:pPr>
        <w:pStyle w:val="NormalWeb"/>
        <w:spacing w:before="0" w:after="0"/>
        <w:rPr>
          <w:rFonts w:ascii="Arial" w:hAnsi="Arial" w:cs="Arial"/>
          <w:sz w:val="18"/>
        </w:rPr>
      </w:pPr>
      <w:r>
        <w:rPr>
          <w:rFonts w:cs="Arial" w:ascii="Arial" w:hAnsi="Arial"/>
          <w:sz w:val="18"/>
        </w:rPr>
        <w:t>Three aspects are being addressed in the revised rule. The first is that the EPA is changing the categorization of units based on date of operation. The new proposal sets the division based on units operating before January 1, 1997, units operating after January 1, 1997 and before January 1, 1999, and units commencing operation on or after January 1, 1999. The new method is identical to the method used in the January 18, 2000 section 126 final rule. The classifications of "sales" are as follows:</w:t>
      </w:r>
    </w:p>
    <w:p>
      <w:pPr>
        <w:pStyle w:val="NormalWeb"/>
        <w:spacing w:before="0" w:after="0"/>
        <w:rPr>
          <w:rFonts w:ascii="Arial" w:hAnsi="Arial" w:cs="Arial"/>
          <w:sz w:val="18"/>
        </w:rPr>
      </w:pPr>
      <w:r>
        <w:rPr>
          <w:rFonts w:cs="Arial" w:ascii="Arial" w:hAnsi="Arial"/>
          <w:sz w:val="18"/>
        </w:rPr>
      </w:r>
    </w:p>
    <w:tbl>
      <w:tblPr>
        <w:tblW w:w="9570" w:type="dxa"/>
        <w:jc w:val="center"/>
        <w:tblInd w:w="0" w:type="dxa"/>
        <w:tblLayout w:type="fixed"/>
        <w:tblCellMar>
          <w:top w:w="105" w:type="dxa"/>
          <w:start w:w="105" w:type="dxa"/>
          <w:bottom w:w="105" w:type="dxa"/>
          <w:end w:w="105" w:type="dxa"/>
        </w:tblCellMar>
      </w:tblPr>
      <w:tblGrid>
        <w:gridCol w:w="1853"/>
        <w:gridCol w:w="2409"/>
        <w:gridCol w:w="2409"/>
        <w:gridCol w:w="2899"/>
      </w:tblGrid>
      <w:tr>
        <w:trPr/>
        <w:tc>
          <w:tcPr>
            <w:tcW w:w="1853"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rPr>
                <w:rFonts w:ascii="Arial" w:hAnsi="Arial" w:eastAsia="Arial Unicode MS" w:cs="Arial"/>
                <w:sz w:val="18"/>
              </w:rPr>
            </w:pPr>
            <w:r>
              <w:rPr>
                <w:rFonts w:cs="Arial" w:ascii="Arial" w:hAnsi="Arial"/>
                <w:i/>
                <w:iCs/>
                <w:sz w:val="18"/>
              </w:rPr>
              <w:br/>
              <w:br/>
              <w:t>Operation Date</w:t>
            </w:r>
          </w:p>
        </w:tc>
        <w:tc>
          <w:tcPr>
            <w:tcW w:w="2409"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rPr>
                <w:rFonts w:ascii="Arial" w:hAnsi="Arial" w:eastAsia="Arial Unicode MS" w:cs="Arial"/>
                <w:sz w:val="18"/>
              </w:rPr>
            </w:pPr>
            <w:r>
              <w:rPr>
                <w:rFonts w:cs="Arial" w:ascii="Arial" w:hAnsi="Arial"/>
                <w:i/>
                <w:iCs/>
                <w:sz w:val="18"/>
              </w:rPr>
              <w:br/>
              <w:br/>
              <w:t>Prior to 1/1/97</w:t>
            </w:r>
          </w:p>
        </w:tc>
        <w:tc>
          <w:tcPr>
            <w:tcW w:w="2409"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rPr>
                <w:rFonts w:ascii="Arial" w:hAnsi="Arial" w:eastAsia="Arial Unicode MS" w:cs="Arial"/>
                <w:sz w:val="18"/>
              </w:rPr>
            </w:pPr>
            <w:r>
              <w:rPr>
                <w:rFonts w:cs="Arial" w:ascii="Arial" w:hAnsi="Arial"/>
                <w:i/>
                <w:iCs/>
                <w:sz w:val="18"/>
              </w:rPr>
              <w:br/>
              <w:br/>
              <w:t>After 1/1/97, before 1/1/99</w:t>
            </w:r>
          </w:p>
        </w:tc>
        <w:tc>
          <w:tcPr>
            <w:tcW w:w="2899"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rPr>
                <w:rFonts w:ascii="Arial" w:hAnsi="Arial" w:eastAsia="Arial Unicode MS" w:cs="Arial"/>
                <w:sz w:val="18"/>
              </w:rPr>
            </w:pPr>
            <w:r>
              <w:rPr>
                <w:rFonts w:cs="Arial" w:ascii="Arial" w:hAnsi="Arial"/>
                <w:i/>
                <w:iCs/>
                <w:sz w:val="18"/>
              </w:rPr>
              <w:br/>
              <w:br/>
              <w:t>After 1/1/99</w:t>
            </w:r>
          </w:p>
        </w:tc>
      </w:tr>
      <w:tr>
        <w:trPr/>
        <w:tc>
          <w:tcPr>
            <w:tcW w:w="1853"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rPr>
                <w:rFonts w:ascii="Arial" w:hAnsi="Arial" w:eastAsia="Arial Unicode MS" w:cs="Arial"/>
                <w:sz w:val="18"/>
              </w:rPr>
            </w:pPr>
            <w:r>
              <w:rPr>
                <w:rFonts w:cs="Arial" w:ascii="Arial" w:hAnsi="Arial"/>
                <w:sz w:val="18"/>
              </w:rPr>
              <w:t>EGU</w:t>
            </w:r>
          </w:p>
        </w:tc>
        <w:tc>
          <w:tcPr>
            <w:tcW w:w="2409"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rPr>
                <w:rFonts w:ascii="Arial" w:hAnsi="Arial" w:eastAsia="Arial Unicode MS" w:cs="Arial"/>
                <w:sz w:val="18"/>
              </w:rPr>
            </w:pPr>
            <w:r>
              <w:rPr>
                <w:rFonts w:cs="Arial" w:ascii="Arial" w:hAnsi="Arial"/>
                <w:sz w:val="18"/>
              </w:rPr>
              <w:t>Sale of any electricity under firm contract to grid in 1995-1996</w:t>
            </w:r>
          </w:p>
        </w:tc>
        <w:tc>
          <w:tcPr>
            <w:tcW w:w="2409"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rPr>
                <w:rFonts w:ascii="Arial" w:hAnsi="Arial" w:eastAsia="Arial Unicode MS" w:cs="Arial"/>
                <w:sz w:val="18"/>
              </w:rPr>
            </w:pPr>
            <w:r>
              <w:rPr>
                <w:rFonts w:cs="Arial" w:ascii="Arial" w:hAnsi="Arial"/>
                <w:sz w:val="18"/>
              </w:rPr>
              <w:t>Sale of any electricity under firm contract to grid in 1997-1998</w:t>
            </w:r>
          </w:p>
        </w:tc>
        <w:tc>
          <w:tcPr>
            <w:tcW w:w="2899"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rPr>
                <w:rFonts w:ascii="Arial" w:hAnsi="Arial" w:eastAsia="Arial Unicode MS" w:cs="Arial"/>
                <w:sz w:val="18"/>
              </w:rPr>
            </w:pPr>
            <w:r>
              <w:rPr>
                <w:rFonts w:cs="Arial" w:ascii="Arial" w:hAnsi="Arial"/>
                <w:sz w:val="18"/>
              </w:rPr>
              <w:t>Unit serving a generator and selling electricity</w:t>
            </w:r>
          </w:p>
        </w:tc>
      </w:tr>
      <w:tr>
        <w:trPr/>
        <w:tc>
          <w:tcPr>
            <w:tcW w:w="1853"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rPr>
                <w:rFonts w:ascii="Arial" w:hAnsi="Arial" w:eastAsia="Arial Unicode MS" w:cs="Arial"/>
                <w:sz w:val="18"/>
              </w:rPr>
            </w:pPr>
            <w:r>
              <w:rPr>
                <w:rFonts w:cs="Arial" w:ascii="Arial" w:hAnsi="Arial"/>
                <w:sz w:val="18"/>
              </w:rPr>
              <w:t>Non-EGU</w:t>
            </w:r>
          </w:p>
        </w:tc>
        <w:tc>
          <w:tcPr>
            <w:tcW w:w="2409"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rPr>
                <w:rFonts w:ascii="Arial" w:hAnsi="Arial" w:eastAsia="Arial Unicode MS" w:cs="Arial"/>
                <w:sz w:val="18"/>
              </w:rPr>
            </w:pPr>
            <w:r>
              <w:rPr>
                <w:rFonts w:cs="Arial" w:ascii="Arial" w:hAnsi="Arial"/>
                <w:sz w:val="18"/>
              </w:rPr>
              <w:t>Did not sell electricity to grid under firm contract</w:t>
            </w:r>
          </w:p>
        </w:tc>
        <w:tc>
          <w:tcPr>
            <w:tcW w:w="2409"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rPr>
                <w:rFonts w:ascii="Arial" w:hAnsi="Arial" w:eastAsia="Arial Unicode MS" w:cs="Arial"/>
                <w:sz w:val="18"/>
              </w:rPr>
            </w:pPr>
            <w:r>
              <w:rPr>
                <w:rFonts w:cs="Arial" w:ascii="Arial" w:hAnsi="Arial"/>
                <w:sz w:val="18"/>
              </w:rPr>
              <w:t>Did not sell electricity to grid under firm contract</w:t>
            </w:r>
          </w:p>
        </w:tc>
        <w:tc>
          <w:tcPr>
            <w:tcW w:w="2899"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rPr>
                <w:rFonts w:ascii="Arial" w:hAnsi="Arial" w:eastAsia="Arial Unicode MS" w:cs="Arial"/>
                <w:sz w:val="18"/>
              </w:rPr>
            </w:pPr>
            <w:r>
              <w:rPr>
                <w:rFonts w:cs="Arial" w:ascii="Arial" w:hAnsi="Arial"/>
                <w:sz w:val="18"/>
              </w:rPr>
              <w:t>&gt;25 MW does not sell electricity, AND cannot use more than 50% of "usable energy" from the boiler or turbine</w:t>
            </w:r>
          </w:p>
        </w:tc>
      </w:tr>
    </w:tbl>
    <w:p>
      <w:pPr>
        <w:pStyle w:val="NormalWeb"/>
        <w:spacing w:before="0" w:after="0"/>
        <w:rPr>
          <w:rFonts w:ascii="Arial" w:hAnsi="Arial" w:cs="Arial"/>
          <w:sz w:val="18"/>
        </w:rPr>
      </w:pPr>
      <w:r>
        <w:rPr>
          <w:rFonts w:cs="Arial" w:ascii="Arial" w:hAnsi="Arial"/>
          <w:sz w:val="18"/>
        </w:rPr>
      </w:r>
    </w:p>
    <w:p>
      <w:pPr>
        <w:pStyle w:val="NormalWeb"/>
        <w:spacing w:before="0" w:after="0"/>
        <w:rPr/>
      </w:pPr>
      <w:r>
        <w:rPr>
          <w:rFonts w:cs="Arial" w:ascii="Arial" w:hAnsi="Arial"/>
          <w:sz w:val="18"/>
        </w:rPr>
        <w:t>The second point is that the EPA would not apply the one-third potential electrical output/25 MW sales criteria of the "cogeneration exclusion" to cogenerating units. Instead, the EPA would apply the basic approach used in the NO</w:t>
      </w:r>
      <w:r>
        <w:rPr>
          <w:rFonts w:cs="Arial" w:ascii="Arial" w:hAnsi="Arial"/>
          <w:sz w:val="18"/>
          <w:vertAlign w:val="subscript"/>
        </w:rPr>
        <w:t>x</w:t>
      </w:r>
      <w:r>
        <w:rPr>
          <w:rFonts w:cs="Arial" w:ascii="Arial" w:hAnsi="Arial"/>
          <w:sz w:val="18"/>
        </w:rPr>
        <w:t xml:space="preserve"> SIP call to separate EGU's and non-EGU's without any differentiation for cogenerators. This approach also applies the divisions based on sale of electricity and operation dates shown above.</w:t>
      </w:r>
    </w:p>
    <w:p>
      <w:pPr>
        <w:pStyle w:val="NormalWeb"/>
        <w:spacing w:before="0" w:after="0"/>
        <w:rPr>
          <w:rFonts w:ascii="Arial" w:hAnsi="Arial" w:cs="Arial"/>
          <w:sz w:val="18"/>
        </w:rPr>
      </w:pPr>
      <w:r>
        <w:rPr>
          <w:rFonts w:cs="Arial" w:ascii="Arial" w:hAnsi="Arial"/>
          <w:sz w:val="18"/>
        </w:rPr>
      </w:r>
    </w:p>
    <w:p>
      <w:pPr>
        <w:pStyle w:val="NormalWeb"/>
        <w:spacing w:before="0" w:after="0"/>
        <w:rPr>
          <w:rFonts w:ascii="Arial" w:hAnsi="Arial" w:cs="Arial"/>
          <w:sz w:val="18"/>
        </w:rPr>
      </w:pPr>
      <w:r>
        <w:rPr>
          <w:rFonts w:cs="Arial" w:ascii="Arial" w:hAnsi="Arial"/>
          <w:sz w:val="18"/>
        </w:rPr>
        <w:t>Third, the EPA is proposing to modify several definitions, including "electricity for sale under firm contract to the electric grid," "nameplate capacity," and "maximum design heat input." The new proposal also recommends the adoption of the term "potential electrical output capacity," and its definition. The new definitions match those of the January 18, 2000 section 126 rule, which read:</w:t>
      </w:r>
    </w:p>
    <w:p>
      <w:pPr>
        <w:pStyle w:val="NormalWeb"/>
        <w:spacing w:before="0" w:after="0"/>
        <w:rPr>
          <w:rFonts w:ascii="Arial" w:hAnsi="Arial" w:cs="Arial"/>
          <w:sz w:val="18"/>
        </w:rPr>
      </w:pPr>
      <w:r>
        <w:rPr>
          <w:rFonts w:cs="Arial" w:ascii="Arial" w:hAnsi="Arial"/>
          <w:sz w:val="18"/>
        </w:rPr>
      </w:r>
    </w:p>
    <w:p>
      <w:pPr>
        <w:pStyle w:val="NormalWeb"/>
        <w:spacing w:before="0" w:after="0"/>
        <w:rPr/>
      </w:pPr>
      <w:r>
        <w:rPr>
          <w:rFonts w:cs="Arial" w:ascii="Arial" w:hAnsi="Arial"/>
          <w:sz w:val="18"/>
          <w:u w:val="single"/>
        </w:rPr>
        <w:t xml:space="preserve">Maximum design heat input </w:t>
      </w:r>
      <w:r>
        <w:rPr>
          <w:rFonts w:cs="Arial" w:ascii="Arial" w:hAnsi="Arial"/>
          <w:sz w:val="18"/>
        </w:rPr>
        <w:t>- The ability of a unit to combust a stated maximum amount of fuel per hour (in MMBtu/hr) on a steady state basis, as determined by the physical design and physical characteristics of the unit.</w:t>
      </w:r>
    </w:p>
    <w:p>
      <w:pPr>
        <w:pStyle w:val="NormalWeb"/>
        <w:spacing w:before="0" w:after="0"/>
        <w:rPr/>
      </w:pPr>
      <w:r>
        <w:rPr>
          <w:rFonts w:cs="Arial" w:ascii="Arial" w:hAnsi="Arial"/>
          <w:sz w:val="18"/>
          <w:u w:val="single"/>
        </w:rPr>
        <w:t xml:space="preserve">Nameplate capacity </w:t>
      </w:r>
      <w:r>
        <w:rPr>
          <w:rFonts w:cs="Arial" w:ascii="Arial" w:hAnsi="Arial"/>
          <w:sz w:val="18"/>
        </w:rPr>
        <w:t>- The maximum electrical generating output (in MW) that a generator can sustain over a specified period of time when not restricted by seasonal or other deratings as measured in accordance with the United States Department of Energy standards.</w:t>
      </w:r>
    </w:p>
    <w:p>
      <w:pPr>
        <w:pStyle w:val="NormalWeb"/>
        <w:spacing w:before="0" w:after="0"/>
        <w:rPr/>
      </w:pPr>
      <w:r>
        <w:rPr>
          <w:rFonts w:cs="Arial" w:ascii="Arial" w:hAnsi="Arial"/>
          <w:sz w:val="18"/>
          <w:u w:val="single"/>
        </w:rPr>
        <w:t xml:space="preserve">Electricity for sale under firm contract to the electric grid </w:t>
      </w:r>
      <w:r>
        <w:rPr>
          <w:rFonts w:cs="Arial" w:ascii="Arial" w:hAnsi="Arial"/>
          <w:sz w:val="18"/>
        </w:rPr>
        <w:t>- The capacity involved is intended to be available at all times during the period covered by the guaranteed commitment to deliver, even under adverse conditions.</w:t>
      </w:r>
    </w:p>
    <w:p>
      <w:pPr>
        <w:pStyle w:val="NormalWeb"/>
        <w:spacing w:before="0" w:after="0"/>
        <w:rPr/>
      </w:pPr>
      <w:r>
        <w:rPr>
          <w:rFonts w:cs="Arial" w:ascii="Arial" w:hAnsi="Arial"/>
          <w:sz w:val="18"/>
          <w:u w:val="single"/>
        </w:rPr>
        <w:t xml:space="preserve">Potential electrical output capacity </w:t>
      </w:r>
      <w:r>
        <w:rPr>
          <w:rFonts w:cs="Arial" w:ascii="Arial" w:hAnsi="Arial"/>
          <w:sz w:val="18"/>
        </w:rPr>
        <w:t>- 33 percent of a unit's maximum design heat input (this phrase replaces "usable energy").</w:t>
      </w:r>
    </w:p>
    <w:p>
      <w:pPr>
        <w:pStyle w:val="NormalWeb"/>
        <w:spacing w:before="0" w:after="0"/>
        <w:rPr>
          <w:rFonts w:ascii="Arial" w:hAnsi="Arial" w:cs="Arial"/>
          <w:b/>
          <w:bCs/>
          <w:sz w:val="18"/>
        </w:rPr>
      </w:pPr>
      <w:r>
        <w:rPr>
          <w:rFonts w:cs="Arial" w:ascii="Arial" w:hAnsi="Arial"/>
          <w:b/>
          <w:bCs/>
          <w:sz w:val="18"/>
        </w:rPr>
      </w:r>
    </w:p>
    <w:p>
      <w:pPr>
        <w:pStyle w:val="NormalWeb"/>
        <w:spacing w:before="0" w:after="0"/>
        <w:rPr>
          <w:rFonts w:ascii="Arial" w:hAnsi="Arial" w:cs="Arial"/>
          <w:b/>
          <w:bCs/>
          <w:sz w:val="18"/>
        </w:rPr>
      </w:pPr>
      <w:r>
        <w:rPr>
          <w:rFonts w:cs="Arial" w:ascii="Arial" w:hAnsi="Arial"/>
          <w:b/>
          <w:bCs/>
          <w:sz w:val="18"/>
        </w:rPr>
        <w:t>Pollution Control Levels for Stationary Internal Combustion Engines</w:t>
      </w:r>
    </w:p>
    <w:p>
      <w:pPr>
        <w:pStyle w:val="NormalWeb"/>
        <w:spacing w:before="0" w:after="0"/>
        <w:rPr>
          <w:rFonts w:ascii="Arial" w:hAnsi="Arial" w:cs="Arial"/>
          <w:b/>
          <w:bCs/>
          <w:sz w:val="18"/>
        </w:rPr>
      </w:pPr>
      <w:r>
        <w:rPr>
          <w:rFonts w:cs="Arial" w:ascii="Arial" w:hAnsi="Arial"/>
          <w:b/>
          <w:bCs/>
          <w:sz w:val="18"/>
        </w:rPr>
      </w:r>
    </w:p>
    <w:p>
      <w:pPr>
        <w:pStyle w:val="NormalWeb"/>
        <w:spacing w:before="0" w:after="0"/>
        <w:rPr/>
      </w:pPr>
      <w:r>
        <w:rPr>
          <w:rFonts w:cs="Arial" w:ascii="Arial" w:hAnsi="Arial"/>
          <w:sz w:val="18"/>
        </w:rPr>
        <w:t>Internal combustion engines are not included in the NO</w:t>
      </w:r>
      <w:r>
        <w:rPr>
          <w:rFonts w:cs="Arial" w:ascii="Arial" w:hAnsi="Arial"/>
          <w:sz w:val="18"/>
          <w:vertAlign w:val="subscript"/>
        </w:rPr>
        <w:t>x</w:t>
      </w:r>
      <w:r>
        <w:rPr>
          <w:rFonts w:cs="Arial" w:ascii="Arial" w:hAnsi="Arial"/>
          <w:sz w:val="18"/>
        </w:rPr>
        <w:t xml:space="preserve"> Trading Program, however reductions from these sources were part of the determination of the state budgets. The original SIP call budgets were based on 90 percent reductions from IC engines through the use of SCR. The gas pipeline industry strenuously objected to this recommendation and joined to the lawsuit opposing the SIP call as well as undertaking direct negotiations with EPA on the issue. The court upheld some of the gas industry’s objections. Subject to this rule and based on new information from the natural gas transmission industry the EPA determined that SCR is not an appropriate or cost-effective technology for large lean-burn engines. EPA is instead proposing the use of low emission combustion technology (LEC) for natural gas-fired lean-burn reciprocating IC engines in either variable or continuous load operation. Implementation of LEC technology is defined as:</w:t>
      </w:r>
    </w:p>
    <w:p>
      <w:pPr>
        <w:pStyle w:val="NormalWeb"/>
        <w:spacing w:before="0" w:after="0"/>
        <w:rPr>
          <w:rFonts w:ascii="Arial" w:hAnsi="Arial" w:cs="Arial"/>
          <w:sz w:val="18"/>
        </w:rPr>
      </w:pPr>
      <w:r>
        <w:rPr>
          <w:rFonts w:cs="Arial" w:ascii="Arial" w:hAnsi="Arial"/>
          <w:sz w:val="18"/>
        </w:rPr>
      </w:r>
    </w:p>
    <w:p>
      <w:pPr>
        <w:pStyle w:val="NormalWeb"/>
        <w:spacing w:before="0" w:after="0"/>
        <w:ind w:start="720" w:end="0"/>
        <w:rPr/>
      </w:pPr>
      <w:r>
        <w:rPr>
          <w:rFonts w:cs="Arial" w:ascii="Arial" w:hAnsi="Arial"/>
          <w:sz w:val="18"/>
        </w:rPr>
        <w:t>The modification of a natural gas fueled, spark-ignited, reciprocating internal combustion engine to reduce emissions of NO</w:t>
      </w:r>
      <w:r>
        <w:rPr>
          <w:rFonts w:cs="Arial" w:ascii="Arial" w:hAnsi="Arial"/>
          <w:sz w:val="18"/>
          <w:vertAlign w:val="subscript"/>
        </w:rPr>
        <w:t>x</w:t>
      </w:r>
      <w:r>
        <w:rPr>
          <w:rFonts w:cs="Arial" w:ascii="Arial" w:hAnsi="Arial"/>
          <w:sz w:val="18"/>
        </w:rPr>
        <w:t xml:space="preserve"> by utilizing ultra-lean air-fuel ratios, high energy ignition systems and/or pre-combustion chambers, increased turbo charging or adding a turbo charger, and increased cooling and/or adding an intercooler or aftercooler, resulting in an engine that is designed to achieve a consistent NO</w:t>
      </w:r>
      <w:r>
        <w:rPr>
          <w:rFonts w:cs="Arial" w:ascii="Arial" w:hAnsi="Arial"/>
          <w:sz w:val="18"/>
          <w:vertAlign w:val="subscript"/>
        </w:rPr>
        <w:t>x</w:t>
      </w:r>
      <w:r>
        <w:rPr>
          <w:rFonts w:cs="Arial" w:ascii="Arial" w:hAnsi="Arial"/>
          <w:sz w:val="18"/>
        </w:rPr>
        <w:t xml:space="preserve"> emission rate of not more than 1.5-3.0 g/bhp-hr at full capacity (usually 100 percent speed and 100 percent load).</w:t>
      </w:r>
    </w:p>
    <w:p>
      <w:pPr>
        <w:pStyle w:val="NormalWeb"/>
        <w:spacing w:before="0" w:after="0"/>
        <w:ind w:start="2880" w:end="0"/>
        <w:rPr>
          <w:rFonts w:ascii="Arial" w:hAnsi="Arial" w:cs="Arial"/>
          <w:sz w:val="18"/>
        </w:rPr>
      </w:pPr>
      <w:r>
        <w:rPr>
          <w:rFonts w:cs="Arial" w:ascii="Arial" w:hAnsi="Arial"/>
          <w:sz w:val="18"/>
        </w:rPr>
      </w:r>
    </w:p>
    <w:p>
      <w:pPr>
        <w:pStyle w:val="NormalWeb"/>
        <w:spacing w:before="0" w:after="0"/>
        <w:rPr>
          <w:rFonts w:ascii="Arial" w:hAnsi="Arial" w:cs="Arial"/>
          <w:sz w:val="18"/>
        </w:rPr>
      </w:pPr>
      <w:r>
        <w:rPr>
          <w:rFonts w:cs="Arial" w:ascii="Arial" w:hAnsi="Arial"/>
          <w:sz w:val="18"/>
        </w:rPr>
        <w:t>In addition, the EPA plans to assign a percent reduction for large natural gas-fired lean-burn IC engines within the range of 82-91 percent. Within this range the EPA estimates the cost effectiveness at $520-$550 per ton. The EPA is requesting comments on this issue. The gas industry is not completely satisfied with this change since it still requires up to 90 percent reductions even though it does not specify the use of SCR. This change in treatment of IC engines changes the total SIP call budgets for the states.</w:t>
      </w:r>
    </w:p>
    <w:p>
      <w:pPr>
        <w:pStyle w:val="NormalWeb"/>
        <w:spacing w:before="0" w:after="0"/>
        <w:rPr>
          <w:rFonts w:ascii="Arial" w:hAnsi="Arial" w:cs="Arial"/>
          <w:sz w:val="18"/>
        </w:rPr>
      </w:pPr>
      <w:r>
        <w:rPr>
          <w:rFonts w:cs="Arial" w:ascii="Arial" w:hAnsi="Arial"/>
          <w:sz w:val="18"/>
        </w:rPr>
      </w:r>
    </w:p>
    <w:p>
      <w:pPr>
        <w:pStyle w:val="NormalWeb"/>
        <w:spacing w:before="0" w:after="0"/>
        <w:rPr>
          <w:rFonts w:ascii="Arial" w:hAnsi="Arial" w:cs="Arial"/>
          <w:b/>
          <w:bCs/>
          <w:sz w:val="18"/>
        </w:rPr>
      </w:pPr>
      <w:r>
        <w:rPr>
          <w:rFonts w:cs="Arial" w:ascii="Arial" w:hAnsi="Arial"/>
          <w:b/>
          <w:bCs/>
          <w:sz w:val="18"/>
        </w:rPr>
        <w:t>Geographic Boundaries for SIPs in Four States</w:t>
      </w:r>
    </w:p>
    <w:p>
      <w:pPr>
        <w:pStyle w:val="NormalWeb"/>
        <w:spacing w:before="0" w:after="0"/>
        <w:rPr>
          <w:rFonts w:ascii="Arial" w:hAnsi="Arial" w:cs="Arial"/>
          <w:b/>
          <w:bCs/>
          <w:sz w:val="18"/>
        </w:rPr>
      </w:pPr>
      <w:r>
        <w:rPr>
          <w:rFonts w:cs="Arial" w:ascii="Arial" w:hAnsi="Arial"/>
          <w:b/>
          <w:bCs/>
          <w:sz w:val="18"/>
        </w:rPr>
      </w:r>
    </w:p>
    <w:p>
      <w:pPr>
        <w:pStyle w:val="NormalWeb"/>
        <w:spacing w:before="0" w:after="0"/>
        <w:rPr>
          <w:rFonts w:ascii="Arial" w:hAnsi="Arial" w:cs="Arial"/>
          <w:sz w:val="18"/>
        </w:rPr>
      </w:pPr>
      <w:r>
        <w:rPr>
          <w:rFonts w:cs="Arial" w:ascii="Arial" w:hAnsi="Arial"/>
          <w:sz w:val="18"/>
        </w:rPr>
        <w:t>In the SIP call lawsuit, it was argued that only portions of Georgia and Missouri should be included in the SIP call. The court agreed and remanded the issue to EPA for consideration. The suggested criteria for inclusion went back to some of the analysis that led to the SIP call.</w:t>
      </w:r>
    </w:p>
    <w:p>
      <w:pPr>
        <w:pStyle w:val="NormalWeb"/>
        <w:spacing w:before="0" w:after="0"/>
        <w:rPr>
          <w:rFonts w:ascii="Arial" w:hAnsi="Arial" w:cs="Arial"/>
          <w:sz w:val="18"/>
        </w:rPr>
      </w:pPr>
      <w:r>
        <w:rPr>
          <w:rFonts w:cs="Arial" w:ascii="Arial" w:hAnsi="Arial"/>
          <w:sz w:val="18"/>
        </w:rPr>
      </w:r>
    </w:p>
    <w:p>
      <w:pPr>
        <w:pStyle w:val="NormalWeb"/>
        <w:spacing w:before="0" w:after="0"/>
        <w:rPr>
          <w:rFonts w:ascii="Arial" w:hAnsi="Arial" w:cs="Arial"/>
          <w:sz w:val="18"/>
        </w:rPr>
      </w:pPr>
      <w:r>
        <w:rPr>
          <w:rFonts w:cs="Arial" w:ascii="Arial" w:hAnsi="Arial"/>
          <w:sz w:val="18"/>
        </w:rPr>
        <w:t>During the early development of the SIP call the EPA used air quality models to determine the effects of ozone transport and which states would be included in the SIP call. These models relied on gridlines to divide states by the amount of pollution in specific square areas. Due to software restrictions some areas were assigned finer gridlines or smaller divisions of area, while others received larger area designations or coarse gridlines. The fine grid and coarse gird areas roughly correspond to the areas with greater or lesser air quality or transport impacts. When the SIP call was reviewed by the courts these (debatably arbitrary) gridlines were highlighted as a potential criterion for determining which states should be included in the SIP call.</w:t>
      </w:r>
    </w:p>
    <w:p>
      <w:pPr>
        <w:pStyle w:val="NormalWeb"/>
        <w:spacing w:before="0" w:after="0"/>
        <w:rPr>
          <w:rFonts w:ascii="Arial" w:hAnsi="Arial" w:cs="Arial"/>
          <w:sz w:val="18"/>
        </w:rPr>
      </w:pPr>
      <w:r>
        <w:rPr>
          <w:rFonts w:cs="Arial" w:ascii="Arial" w:hAnsi="Arial"/>
          <w:sz w:val="18"/>
        </w:rPr>
      </w:r>
    </w:p>
    <w:p>
      <w:pPr>
        <w:pStyle w:val="NormalWeb"/>
        <w:spacing w:before="0" w:after="0"/>
        <w:rPr>
          <w:rFonts w:ascii="Arial" w:hAnsi="Arial" w:cs="Arial"/>
          <w:sz w:val="18"/>
        </w:rPr>
      </w:pPr>
      <w:r>
        <w:rPr>
          <w:rFonts w:cs="Arial" w:ascii="Arial" w:hAnsi="Arial"/>
          <w:sz w:val="18"/>
        </w:rPr>
        <w:t>EPA's current proposal reallocates budgets to Georgia and Missouri based on the exclusion of counties in the coarse grid. The modified budget will require that emissions reductions take place in the fine grid portion of the states. The counties that will be included are those that fall completely above the coarse grid/fine grid line (32 degrees latitude).</w:t>
      </w:r>
    </w:p>
    <w:p>
      <w:pPr>
        <w:pStyle w:val="NormalWeb"/>
        <w:spacing w:before="0" w:after="0"/>
        <w:rPr>
          <w:rFonts w:ascii="Arial" w:hAnsi="Arial" w:cs="Arial"/>
          <w:sz w:val="18"/>
        </w:rPr>
      </w:pPr>
      <w:r>
        <w:rPr>
          <w:rFonts w:cs="Arial" w:ascii="Arial" w:hAnsi="Arial"/>
          <w:sz w:val="18"/>
        </w:rPr>
      </w:r>
    </w:p>
    <w:p>
      <w:pPr>
        <w:pStyle w:val="NormalWeb"/>
        <w:spacing w:before="0" w:after="0"/>
        <w:rPr>
          <w:rFonts w:ascii="Arial" w:hAnsi="Arial" w:cs="Arial"/>
          <w:sz w:val="18"/>
        </w:rPr>
      </w:pPr>
      <w:r>
        <w:rPr>
          <w:rFonts w:cs="Arial" w:ascii="Arial" w:hAnsi="Arial"/>
          <w:sz w:val="18"/>
        </w:rPr>
        <w:t xml:space="preserve">Although the court did not directly address Alabama and Michigan, they also straddle the fine grid/coarse grid lines and the EPA has concluded that both states should be treated the same as Georgia and Missouri. The attached maps show the impact of these changes. </w:t>
      </w:r>
    </w:p>
    <w:p>
      <w:pPr>
        <w:pStyle w:val="NormalWeb"/>
        <w:spacing w:before="0" w:after="0"/>
        <w:rPr>
          <w:rFonts w:ascii="Arial" w:hAnsi="Arial" w:cs="Arial"/>
          <w:sz w:val="18"/>
        </w:rPr>
      </w:pPr>
      <w:r>
        <w:rPr>
          <w:rFonts w:cs="Arial" w:ascii="Arial" w:hAnsi="Arial"/>
          <w:sz w:val="18"/>
        </w:rPr>
      </w:r>
    </w:p>
    <w:p>
      <w:pPr>
        <w:pStyle w:val="NormalWeb"/>
        <w:spacing w:before="0" w:after="0"/>
        <w:rPr>
          <w:rFonts w:ascii="Arial" w:hAnsi="Arial" w:cs="Arial"/>
          <w:sz w:val="18"/>
        </w:rPr>
      </w:pPr>
      <w:r>
        <w:rPr>
          <w:rFonts w:cs="Arial" w:ascii="Arial" w:hAnsi="Arial"/>
          <w:sz w:val="18"/>
        </w:rPr>
        <w:t>Several budget changes will result from the proposed SIP changes. The EGU/non-EGU inventories will shift slightly due to the definitional changes (though the EPA says that change will be small). The IC engine budget will change. Sources in the coarse grid portions of Georgia, Missouri, Alabama and Michigan will be removed, changing both the basic budget and the compliance supplement pools. The EGU budget and compliance supplement pools for those states have been changed as follows:</w:t>
      </w:r>
    </w:p>
    <w:p>
      <w:pPr>
        <w:pStyle w:val="NormalWeb"/>
        <w:spacing w:before="0" w:after="0"/>
        <w:rPr>
          <w:rFonts w:ascii="Arial" w:hAnsi="Arial" w:cs="Arial"/>
          <w:sz w:val="18"/>
        </w:rPr>
      </w:pPr>
      <w:r>
        <w:rPr>
          <w:rFonts w:cs="Arial" w:ascii="Arial" w:hAnsi="Arial"/>
          <w:sz w:val="18"/>
        </w:rPr>
      </w:r>
    </w:p>
    <w:p>
      <w:pPr>
        <w:pStyle w:val="NormalWeb"/>
        <w:spacing w:before="0" w:after="0"/>
        <w:jc w:val="center"/>
        <w:rPr>
          <w:rFonts w:ascii="Arial" w:hAnsi="Arial" w:cs="Arial"/>
          <w:b/>
          <w:bCs/>
          <w:sz w:val="18"/>
        </w:rPr>
      </w:pPr>
      <w:r>
        <w:rPr>
          <w:rFonts w:cs="Arial" w:ascii="Arial" w:hAnsi="Arial"/>
          <w:b/>
          <w:bCs/>
          <w:sz w:val="18"/>
        </w:rPr>
      </w:r>
    </w:p>
    <w:p>
      <w:pPr>
        <w:pStyle w:val="NormalWeb"/>
        <w:spacing w:before="0" w:after="0"/>
        <w:jc w:val="center"/>
        <w:rPr>
          <w:rFonts w:ascii="Arial" w:hAnsi="Arial" w:cs="Arial"/>
          <w:b/>
          <w:bCs/>
          <w:sz w:val="18"/>
        </w:rPr>
      </w:pPr>
      <w:r>
        <w:rPr>
          <w:rFonts w:cs="Arial" w:ascii="Arial" w:hAnsi="Arial"/>
          <w:b/>
          <w:bCs/>
          <w:sz w:val="18"/>
        </w:rPr>
      </w:r>
    </w:p>
    <w:p>
      <w:pPr>
        <w:pStyle w:val="NormalWeb"/>
        <w:spacing w:before="0" w:after="0"/>
        <w:jc w:val="center"/>
        <w:rPr>
          <w:rFonts w:ascii="Arial" w:hAnsi="Arial" w:cs="Arial"/>
          <w:b/>
          <w:bCs/>
          <w:sz w:val="18"/>
        </w:rPr>
      </w:pPr>
      <w:r>
        <w:rPr>
          <w:rFonts w:cs="Arial" w:ascii="Arial" w:hAnsi="Arial"/>
          <w:b/>
          <w:bCs/>
          <w:sz w:val="18"/>
        </w:rPr>
      </w:r>
    </w:p>
    <w:p>
      <w:pPr>
        <w:pStyle w:val="NormalWeb"/>
        <w:spacing w:before="0" w:after="0"/>
        <w:jc w:val="center"/>
        <w:rPr>
          <w:rFonts w:ascii="Arial" w:hAnsi="Arial" w:cs="Arial"/>
          <w:b/>
          <w:bCs/>
          <w:sz w:val="18"/>
        </w:rPr>
      </w:pPr>
      <w:r>
        <w:rPr>
          <w:rFonts w:cs="Arial" w:ascii="Arial" w:hAnsi="Arial"/>
          <w:b/>
          <w:bCs/>
          <w:sz w:val="18"/>
        </w:rPr>
      </w:r>
    </w:p>
    <w:p>
      <w:pPr>
        <w:pStyle w:val="NormalWeb"/>
        <w:spacing w:before="0" w:after="0"/>
        <w:jc w:val="center"/>
        <w:rPr>
          <w:rFonts w:ascii="Arial" w:hAnsi="Arial" w:cs="Arial"/>
          <w:b/>
          <w:bCs/>
          <w:sz w:val="18"/>
        </w:rPr>
      </w:pPr>
      <w:r>
        <w:rPr>
          <w:rFonts w:cs="Arial" w:ascii="Arial" w:hAnsi="Arial"/>
          <w:b/>
          <w:bCs/>
          <w:sz w:val="18"/>
        </w:rPr>
        <w:t>Revised State Budgets</w:t>
      </w:r>
    </w:p>
    <w:p>
      <w:pPr>
        <w:pStyle w:val="NormalWeb"/>
        <w:spacing w:before="0" w:after="0"/>
        <w:jc w:val="center"/>
        <w:rPr>
          <w:rFonts w:ascii="Arial" w:hAnsi="Arial" w:cs="Arial"/>
          <w:b/>
          <w:bCs/>
          <w:sz w:val="18"/>
        </w:rPr>
      </w:pPr>
      <w:r>
        <w:rPr>
          <w:rFonts w:cs="Arial" w:ascii="Arial" w:hAnsi="Arial"/>
          <w:b/>
          <w:bCs/>
          <w:sz w:val="18"/>
        </w:rPr>
      </w:r>
    </w:p>
    <w:tbl>
      <w:tblPr>
        <w:tblW w:w="4905" w:type="dxa"/>
        <w:jc w:val="center"/>
        <w:tblInd w:w="0" w:type="dxa"/>
        <w:tblLayout w:type="fixed"/>
        <w:tblCellMar>
          <w:top w:w="105" w:type="dxa"/>
          <w:start w:w="105" w:type="dxa"/>
          <w:bottom w:w="105" w:type="dxa"/>
          <w:end w:w="105" w:type="dxa"/>
        </w:tblCellMar>
      </w:tblPr>
      <w:tblGrid>
        <w:gridCol w:w="1289"/>
        <w:gridCol w:w="1561"/>
        <w:gridCol w:w="2055"/>
      </w:tblGrid>
      <w:tr>
        <w:trPr/>
        <w:tc>
          <w:tcPr>
            <w:tcW w:w="1289" w:type="dxa"/>
            <w:tcBorders>
              <w:top w:val="thickThinLargeGap" w:sz="6" w:space="0" w:color="008000"/>
              <w:start w:val="thickThinLargeGap" w:sz="6" w:space="0" w:color="008000"/>
              <w:bottom w:val="thickThinLargeGap" w:sz="6" w:space="0" w:color="008000"/>
              <w:end w:val="thickThinLargeGap" w:sz="6" w:space="0" w:color="008000"/>
            </w:tcBorders>
          </w:tcPr>
          <w:p>
            <w:pPr>
              <w:pStyle w:val="Normal"/>
              <w:rPr>
                <w:rFonts w:ascii="Arial" w:hAnsi="Arial" w:eastAsia="Arial Unicode MS" w:cs="Arial"/>
                <w:sz w:val="18"/>
              </w:rPr>
            </w:pPr>
            <w:r>
              <w:rPr>
                <w:rFonts w:cs="Arial" w:ascii="Arial" w:hAnsi="Arial"/>
                <w:sz w:val="18"/>
              </w:rPr>
              <w:t> </w:t>
            </w:r>
          </w:p>
        </w:tc>
        <w:tc>
          <w:tcPr>
            <w:tcW w:w="1561" w:type="dxa"/>
            <w:tcBorders>
              <w:top w:val="thickThinLargeGap" w:sz="6" w:space="0" w:color="008000"/>
              <w:start w:val="thickThinLargeGap" w:sz="6" w:space="0" w:color="008000"/>
              <w:bottom w:val="thickThinLargeGap" w:sz="6" w:space="0" w:color="008000"/>
              <w:end w:val="thickThinLargeGap" w:sz="6" w:space="0" w:color="008000"/>
            </w:tcBorders>
          </w:tcPr>
          <w:p>
            <w:pPr>
              <w:pStyle w:val="NormalWeb"/>
              <w:spacing w:before="100" w:after="100"/>
              <w:jc w:val="center"/>
              <w:rPr>
                <w:rFonts w:ascii="Arial" w:hAnsi="Arial" w:cs="Arial"/>
                <w:sz w:val="18"/>
              </w:rPr>
            </w:pPr>
            <w:r>
              <w:rPr>
                <w:rFonts w:cs="Arial" w:ascii="Arial" w:hAnsi="Arial"/>
                <w:sz w:val="18"/>
              </w:rPr>
              <w:t xml:space="preserve">EGU Budget </w:t>
            </w:r>
          </w:p>
        </w:tc>
        <w:tc>
          <w:tcPr>
            <w:tcW w:w="2055" w:type="dxa"/>
            <w:tcBorders>
              <w:top w:val="thickThinLargeGap" w:sz="6" w:space="0" w:color="008000"/>
              <w:start w:val="thickThinLargeGap" w:sz="6" w:space="0" w:color="008000"/>
              <w:bottom w:val="thickThinLargeGap" w:sz="6" w:space="0" w:color="008000"/>
              <w:end w:val="thickThinLargeGap" w:sz="6" w:space="0" w:color="008000"/>
            </w:tcBorders>
          </w:tcPr>
          <w:p>
            <w:pPr>
              <w:pStyle w:val="NormalWeb"/>
              <w:spacing w:before="100" w:after="100"/>
              <w:jc w:val="center"/>
              <w:rPr>
                <w:rFonts w:ascii="Arial" w:hAnsi="Arial" w:cs="Arial"/>
                <w:sz w:val="18"/>
              </w:rPr>
            </w:pPr>
            <w:r>
              <w:rPr>
                <w:rFonts w:cs="Arial" w:ascii="Arial" w:hAnsi="Arial"/>
                <w:sz w:val="18"/>
              </w:rPr>
              <w:t>Compliance</w:t>
            </w:r>
          </w:p>
          <w:p>
            <w:pPr>
              <w:pStyle w:val="NormalWeb"/>
              <w:spacing w:before="100" w:after="100"/>
              <w:jc w:val="center"/>
              <w:rPr>
                <w:rFonts w:ascii="Arial" w:hAnsi="Arial" w:cs="Arial"/>
                <w:sz w:val="18"/>
              </w:rPr>
            </w:pPr>
            <w:r>
              <w:rPr>
                <w:rFonts w:cs="Arial" w:ascii="Arial" w:hAnsi="Arial"/>
                <w:sz w:val="18"/>
              </w:rPr>
              <w:t xml:space="preserve">Supplement Pools </w:t>
            </w:r>
          </w:p>
        </w:tc>
      </w:tr>
      <w:tr>
        <w:trPr/>
        <w:tc>
          <w:tcPr>
            <w:tcW w:w="1289" w:type="dxa"/>
            <w:tcBorders>
              <w:top w:val="thickThinLargeGap" w:sz="6" w:space="0" w:color="008000"/>
              <w:start w:val="thickThinLargeGap" w:sz="6" w:space="0" w:color="008000"/>
              <w:bottom w:val="thickThinLargeGap" w:sz="6" w:space="0" w:color="008000"/>
              <w:end w:val="thickThinLargeGap" w:sz="6" w:space="0" w:color="008000"/>
            </w:tcBorders>
          </w:tcPr>
          <w:p>
            <w:pPr>
              <w:pStyle w:val="Normal"/>
              <w:rPr>
                <w:rFonts w:ascii="Arial" w:hAnsi="Arial" w:eastAsia="Arial Unicode MS" w:cs="Arial"/>
                <w:sz w:val="18"/>
              </w:rPr>
            </w:pPr>
            <w:r>
              <w:rPr>
                <w:rFonts w:cs="Arial" w:ascii="Arial" w:hAnsi="Arial"/>
                <w:sz w:val="18"/>
              </w:rPr>
              <w:t>Alabama</w:t>
            </w:r>
          </w:p>
        </w:tc>
        <w:tc>
          <w:tcPr>
            <w:tcW w:w="1561" w:type="dxa"/>
            <w:tcBorders>
              <w:top w:val="thickThinLargeGap" w:sz="6" w:space="0" w:color="008000"/>
              <w:start w:val="thickThinLargeGap" w:sz="6" w:space="0" w:color="008000"/>
              <w:bottom w:val="thickThinLargeGap" w:sz="6" w:space="0" w:color="008000"/>
              <w:end w:val="thickThinLargeGap" w:sz="6" w:space="0" w:color="008000"/>
            </w:tcBorders>
          </w:tcPr>
          <w:p>
            <w:pPr>
              <w:pStyle w:val="NormalWeb"/>
              <w:spacing w:before="100" w:after="100"/>
              <w:jc w:val="center"/>
              <w:rPr>
                <w:rFonts w:ascii="Arial" w:hAnsi="Arial" w:cs="Arial"/>
                <w:sz w:val="18"/>
              </w:rPr>
            </w:pPr>
            <w:r>
              <w:rPr>
                <w:rFonts w:cs="Arial" w:ascii="Arial" w:hAnsi="Arial"/>
                <w:sz w:val="18"/>
              </w:rPr>
              <w:t xml:space="preserve">23,168 </w:t>
            </w:r>
          </w:p>
        </w:tc>
        <w:tc>
          <w:tcPr>
            <w:tcW w:w="2055" w:type="dxa"/>
            <w:tcBorders>
              <w:top w:val="thickThinLargeGap" w:sz="6" w:space="0" w:color="008000"/>
              <w:start w:val="thickThinLargeGap" w:sz="6" w:space="0" w:color="008000"/>
              <w:bottom w:val="thickThinLargeGap" w:sz="6" w:space="0" w:color="008000"/>
              <w:end w:val="thickThinLargeGap" w:sz="6" w:space="0" w:color="008000"/>
            </w:tcBorders>
          </w:tcPr>
          <w:p>
            <w:pPr>
              <w:pStyle w:val="NormalWeb"/>
              <w:spacing w:before="100" w:after="100"/>
              <w:jc w:val="center"/>
              <w:rPr>
                <w:rFonts w:ascii="Arial" w:hAnsi="Arial" w:cs="Arial"/>
                <w:sz w:val="18"/>
              </w:rPr>
            </w:pPr>
            <w:r>
              <w:rPr>
                <w:rFonts w:cs="Arial" w:ascii="Arial" w:hAnsi="Arial"/>
                <w:sz w:val="18"/>
              </w:rPr>
              <w:t xml:space="preserve">8,962 </w:t>
            </w:r>
          </w:p>
        </w:tc>
      </w:tr>
      <w:tr>
        <w:trPr/>
        <w:tc>
          <w:tcPr>
            <w:tcW w:w="1289" w:type="dxa"/>
            <w:tcBorders>
              <w:top w:val="thickThinLargeGap" w:sz="6" w:space="0" w:color="008000"/>
              <w:start w:val="thickThinLargeGap" w:sz="6" w:space="0" w:color="008000"/>
              <w:bottom w:val="thickThinLargeGap" w:sz="6" w:space="0" w:color="008000"/>
              <w:end w:val="thickThinLargeGap" w:sz="6" w:space="0" w:color="008000"/>
            </w:tcBorders>
          </w:tcPr>
          <w:p>
            <w:pPr>
              <w:pStyle w:val="Normal"/>
              <w:rPr>
                <w:rFonts w:ascii="Arial" w:hAnsi="Arial" w:eastAsia="Arial Unicode MS" w:cs="Arial"/>
                <w:sz w:val="18"/>
              </w:rPr>
            </w:pPr>
            <w:r>
              <w:rPr>
                <w:rFonts w:cs="Arial" w:ascii="Arial" w:hAnsi="Arial"/>
                <w:sz w:val="18"/>
              </w:rPr>
              <w:t>Georgia</w:t>
            </w:r>
          </w:p>
        </w:tc>
        <w:tc>
          <w:tcPr>
            <w:tcW w:w="1561" w:type="dxa"/>
            <w:tcBorders>
              <w:top w:val="thickThinLargeGap" w:sz="6" w:space="0" w:color="008000"/>
              <w:start w:val="thickThinLargeGap" w:sz="6" w:space="0" w:color="008000"/>
              <w:bottom w:val="thickThinLargeGap" w:sz="6" w:space="0" w:color="008000"/>
              <w:end w:val="thickThinLargeGap" w:sz="6" w:space="0" w:color="008000"/>
            </w:tcBorders>
          </w:tcPr>
          <w:p>
            <w:pPr>
              <w:pStyle w:val="NormalWeb"/>
              <w:spacing w:before="100" w:after="100"/>
              <w:jc w:val="center"/>
              <w:rPr>
                <w:rFonts w:ascii="Arial" w:hAnsi="Arial" w:cs="Arial"/>
                <w:sz w:val="18"/>
              </w:rPr>
            </w:pPr>
            <w:r>
              <w:rPr>
                <w:rFonts w:cs="Arial" w:ascii="Arial" w:hAnsi="Arial"/>
                <w:sz w:val="18"/>
              </w:rPr>
              <w:t xml:space="preserve">29,416 </w:t>
            </w:r>
          </w:p>
        </w:tc>
        <w:tc>
          <w:tcPr>
            <w:tcW w:w="2055" w:type="dxa"/>
            <w:tcBorders>
              <w:top w:val="thickThinLargeGap" w:sz="6" w:space="0" w:color="008000"/>
              <w:start w:val="thickThinLargeGap" w:sz="6" w:space="0" w:color="008000"/>
              <w:bottom w:val="thickThinLargeGap" w:sz="6" w:space="0" w:color="008000"/>
              <w:end w:val="thickThinLargeGap" w:sz="6" w:space="0" w:color="008000"/>
            </w:tcBorders>
          </w:tcPr>
          <w:p>
            <w:pPr>
              <w:pStyle w:val="NormalWeb"/>
              <w:spacing w:before="100" w:after="100"/>
              <w:jc w:val="center"/>
              <w:rPr>
                <w:rFonts w:ascii="Arial" w:hAnsi="Arial" w:cs="Arial"/>
                <w:sz w:val="18"/>
              </w:rPr>
            </w:pPr>
            <w:r>
              <w:rPr>
                <w:rFonts w:cs="Arial" w:ascii="Arial" w:hAnsi="Arial"/>
                <w:sz w:val="18"/>
              </w:rPr>
              <w:t xml:space="preserve">10,728 </w:t>
            </w:r>
          </w:p>
        </w:tc>
      </w:tr>
      <w:tr>
        <w:trPr/>
        <w:tc>
          <w:tcPr>
            <w:tcW w:w="1289" w:type="dxa"/>
            <w:tcBorders>
              <w:top w:val="thickThinLargeGap" w:sz="6" w:space="0" w:color="008000"/>
              <w:start w:val="thickThinLargeGap" w:sz="6" w:space="0" w:color="008000"/>
              <w:bottom w:val="thickThinLargeGap" w:sz="6" w:space="0" w:color="008000"/>
              <w:end w:val="thickThinLargeGap" w:sz="6" w:space="0" w:color="008000"/>
            </w:tcBorders>
          </w:tcPr>
          <w:p>
            <w:pPr>
              <w:pStyle w:val="Normal"/>
              <w:rPr>
                <w:rFonts w:ascii="Arial" w:hAnsi="Arial" w:eastAsia="Arial Unicode MS" w:cs="Arial"/>
                <w:sz w:val="18"/>
              </w:rPr>
            </w:pPr>
            <w:r>
              <w:rPr>
                <w:rFonts w:cs="Arial" w:ascii="Arial" w:hAnsi="Arial"/>
                <w:sz w:val="18"/>
              </w:rPr>
              <w:t>Michigan</w:t>
            </w:r>
          </w:p>
        </w:tc>
        <w:tc>
          <w:tcPr>
            <w:tcW w:w="1561" w:type="dxa"/>
            <w:tcBorders>
              <w:top w:val="thickThinLargeGap" w:sz="6" w:space="0" w:color="008000"/>
              <w:start w:val="thickThinLargeGap" w:sz="6" w:space="0" w:color="008000"/>
              <w:bottom w:val="thickThinLargeGap" w:sz="6" w:space="0" w:color="008000"/>
              <w:end w:val="thickThinLargeGap" w:sz="6" w:space="0" w:color="008000"/>
            </w:tcBorders>
          </w:tcPr>
          <w:p>
            <w:pPr>
              <w:pStyle w:val="NormalWeb"/>
              <w:spacing w:before="100" w:after="100"/>
              <w:jc w:val="center"/>
              <w:rPr>
                <w:rFonts w:ascii="Arial" w:hAnsi="Arial" w:cs="Arial"/>
                <w:sz w:val="18"/>
              </w:rPr>
            </w:pPr>
            <w:r>
              <w:rPr>
                <w:rFonts w:cs="Arial" w:ascii="Arial" w:hAnsi="Arial"/>
                <w:sz w:val="18"/>
              </w:rPr>
              <w:t xml:space="preserve">13,382 </w:t>
            </w:r>
          </w:p>
        </w:tc>
        <w:tc>
          <w:tcPr>
            <w:tcW w:w="2055" w:type="dxa"/>
            <w:tcBorders>
              <w:top w:val="thickThinLargeGap" w:sz="6" w:space="0" w:color="008000"/>
              <w:start w:val="thickThinLargeGap" w:sz="6" w:space="0" w:color="008000"/>
              <w:bottom w:val="thickThinLargeGap" w:sz="6" w:space="0" w:color="008000"/>
              <w:end w:val="thickThinLargeGap" w:sz="6" w:space="0" w:color="008000"/>
            </w:tcBorders>
          </w:tcPr>
          <w:p>
            <w:pPr>
              <w:pStyle w:val="NormalWeb"/>
              <w:spacing w:before="100" w:after="100"/>
              <w:jc w:val="center"/>
              <w:rPr>
                <w:rFonts w:ascii="Arial" w:hAnsi="Arial" w:cs="Arial"/>
                <w:sz w:val="18"/>
              </w:rPr>
            </w:pPr>
            <w:r>
              <w:rPr>
                <w:rFonts w:cs="Arial" w:ascii="Arial" w:hAnsi="Arial"/>
                <w:sz w:val="18"/>
              </w:rPr>
              <w:t xml:space="preserve">9,907 </w:t>
            </w:r>
          </w:p>
        </w:tc>
      </w:tr>
      <w:tr>
        <w:trPr/>
        <w:tc>
          <w:tcPr>
            <w:tcW w:w="1289" w:type="dxa"/>
            <w:tcBorders>
              <w:top w:val="thickThinLargeGap" w:sz="6" w:space="0" w:color="008000"/>
              <w:start w:val="thickThinLargeGap" w:sz="6" w:space="0" w:color="008000"/>
              <w:bottom w:val="thickThinLargeGap" w:sz="6" w:space="0" w:color="008000"/>
              <w:end w:val="thickThinLargeGap" w:sz="6" w:space="0" w:color="008000"/>
            </w:tcBorders>
          </w:tcPr>
          <w:p>
            <w:pPr>
              <w:pStyle w:val="Normal"/>
              <w:rPr>
                <w:rFonts w:ascii="Arial" w:hAnsi="Arial" w:eastAsia="Arial Unicode MS" w:cs="Arial"/>
                <w:sz w:val="18"/>
              </w:rPr>
            </w:pPr>
            <w:r>
              <w:rPr>
                <w:rFonts w:cs="Arial" w:ascii="Arial" w:hAnsi="Arial"/>
                <w:sz w:val="18"/>
              </w:rPr>
              <w:t>Missouri</w:t>
            </w:r>
          </w:p>
        </w:tc>
        <w:tc>
          <w:tcPr>
            <w:tcW w:w="1561" w:type="dxa"/>
            <w:tcBorders>
              <w:top w:val="thickThinLargeGap" w:sz="6" w:space="0" w:color="008000"/>
              <w:start w:val="thickThinLargeGap" w:sz="6" w:space="0" w:color="008000"/>
              <w:bottom w:val="thickThinLargeGap" w:sz="6" w:space="0" w:color="008000"/>
              <w:end w:val="thickThinLargeGap" w:sz="6" w:space="0" w:color="008000"/>
            </w:tcBorders>
          </w:tcPr>
          <w:p>
            <w:pPr>
              <w:pStyle w:val="NormalWeb"/>
              <w:spacing w:before="100" w:after="100"/>
              <w:jc w:val="center"/>
              <w:rPr>
                <w:rFonts w:ascii="Arial" w:hAnsi="Arial" w:cs="Arial"/>
                <w:sz w:val="18"/>
              </w:rPr>
            </w:pPr>
            <w:r>
              <w:rPr>
                <w:rFonts w:cs="Arial" w:ascii="Arial" w:hAnsi="Arial"/>
                <w:sz w:val="18"/>
              </w:rPr>
              <w:t xml:space="preserve">29,506 </w:t>
            </w:r>
          </w:p>
        </w:tc>
        <w:tc>
          <w:tcPr>
            <w:tcW w:w="2055" w:type="dxa"/>
            <w:tcBorders>
              <w:top w:val="thickThinLargeGap" w:sz="6" w:space="0" w:color="008000"/>
              <w:start w:val="thickThinLargeGap" w:sz="6" w:space="0" w:color="008000"/>
              <w:bottom w:val="thickThinLargeGap" w:sz="6" w:space="0" w:color="008000"/>
              <w:end w:val="thickThinLargeGap" w:sz="6" w:space="0" w:color="008000"/>
            </w:tcBorders>
          </w:tcPr>
          <w:p>
            <w:pPr>
              <w:pStyle w:val="NormalWeb"/>
              <w:spacing w:before="100" w:after="100"/>
              <w:jc w:val="center"/>
              <w:rPr>
                <w:rFonts w:ascii="Arial" w:hAnsi="Arial" w:cs="Arial"/>
                <w:sz w:val="18"/>
              </w:rPr>
            </w:pPr>
            <w:r>
              <w:rPr>
                <w:rFonts w:cs="Arial" w:ascii="Arial" w:hAnsi="Arial"/>
                <w:sz w:val="18"/>
              </w:rPr>
              <w:t xml:space="preserve">5,630 </w:t>
            </w:r>
          </w:p>
        </w:tc>
      </w:tr>
    </w:tbl>
    <w:p>
      <w:pPr>
        <w:pStyle w:val="NormalWeb"/>
        <w:spacing w:before="0" w:after="0"/>
        <w:rPr>
          <w:rFonts w:ascii="Arial" w:hAnsi="Arial" w:cs="Arial"/>
          <w:sz w:val="18"/>
        </w:rPr>
      </w:pPr>
      <w:r>
        <w:rPr>
          <w:rFonts w:cs="Arial" w:ascii="Arial" w:hAnsi="Arial"/>
          <w:sz w:val="18"/>
        </w:rPr>
      </w:r>
    </w:p>
    <w:p>
      <w:pPr>
        <w:pStyle w:val="NormalWeb"/>
        <w:spacing w:before="0" w:after="0"/>
        <w:rPr>
          <w:rFonts w:ascii="Arial" w:hAnsi="Arial" w:cs="Arial"/>
          <w:sz w:val="18"/>
        </w:rPr>
      </w:pPr>
      <w:r>
        <w:rPr>
          <w:rFonts w:cs="Arial" w:ascii="Arial" w:hAnsi="Arial"/>
          <w:sz w:val="18"/>
        </w:rPr>
        <w:t>The EPA has also proposed that compliance supplement pool allocations may be usable in 2004-2005 rather than 2003-2004.</w:t>
      </w:r>
    </w:p>
    <w:p>
      <w:pPr>
        <w:pStyle w:val="NormalWeb"/>
        <w:spacing w:before="0" w:after="0"/>
        <w:rPr>
          <w:rFonts w:ascii="Arial" w:hAnsi="Arial" w:cs="Arial"/>
          <w:sz w:val="18"/>
        </w:rPr>
      </w:pPr>
      <w:r>
        <w:rPr>
          <w:rFonts w:cs="Arial" w:ascii="Arial" w:hAnsi="Arial"/>
          <w:sz w:val="18"/>
        </w:rPr>
      </w:r>
    </w:p>
    <w:p>
      <w:pPr>
        <w:pStyle w:val="NormalWeb"/>
        <w:spacing w:before="0" w:after="0"/>
        <w:rPr>
          <w:rFonts w:ascii="Arial" w:hAnsi="Arial" w:cs="Arial"/>
          <w:sz w:val="18"/>
        </w:rPr>
      </w:pPr>
      <w:r>
        <w:rPr>
          <w:rFonts w:cs="Arial" w:ascii="Arial" w:hAnsi="Arial"/>
          <w:b/>
          <w:bCs/>
          <w:sz w:val="18"/>
        </w:rPr>
        <w:t>Deadlines for Submittal of Phase II SIP Calls from States</w:t>
      </w:r>
    </w:p>
    <w:p>
      <w:pPr>
        <w:pStyle w:val="NormalWeb"/>
        <w:spacing w:before="0" w:after="0"/>
        <w:rPr>
          <w:rFonts w:ascii="Arial" w:hAnsi="Arial" w:cs="Arial"/>
          <w:i/>
          <w:i/>
          <w:iCs/>
          <w:sz w:val="18"/>
        </w:rPr>
      </w:pPr>
      <w:r>
        <w:rPr>
          <w:rFonts w:cs="Arial" w:ascii="Arial" w:hAnsi="Arial"/>
          <w:i/>
          <w:iCs/>
          <w:sz w:val="18"/>
        </w:rPr>
      </w:r>
    </w:p>
    <w:p>
      <w:pPr>
        <w:pStyle w:val="NormalWeb"/>
        <w:spacing w:before="0" w:after="0"/>
        <w:rPr>
          <w:rFonts w:ascii="Arial" w:hAnsi="Arial" w:cs="Arial"/>
          <w:sz w:val="18"/>
        </w:rPr>
      </w:pPr>
      <w:r>
        <w:rPr>
          <w:rFonts w:cs="Arial" w:ascii="Arial" w:hAnsi="Arial"/>
          <w:i/>
          <w:iCs/>
          <w:sz w:val="18"/>
        </w:rPr>
        <w:t>SIP Submittals</w:t>
      </w:r>
    </w:p>
    <w:p>
      <w:pPr>
        <w:pStyle w:val="NormalWeb"/>
        <w:spacing w:before="0" w:after="0"/>
        <w:rPr>
          <w:rFonts w:ascii="Arial" w:hAnsi="Arial" w:cs="Arial"/>
          <w:sz w:val="18"/>
        </w:rPr>
      </w:pPr>
      <w:r>
        <w:rPr>
          <w:rFonts w:cs="Arial" w:ascii="Arial" w:hAnsi="Arial"/>
          <w:sz w:val="18"/>
        </w:rPr>
        <w:t>Because of the changes to the EGU definition and treatment of IC engines, states participating in the SIP call will need to revise their SIP submittals in response to EPA's recent proposals. After the court decision, EPA had revised the budgets to conform to the decision by taking out reductions from IC engines and using the old definition of EGU. This was called the Phase I budget and was the basis for SIP submittals. Now EPA is putting the IC engine reductions back in and making the other adjustments discussed above. This is called the Phase II budget. All of the states will need to modify their SIPs to conform to the Phase II budgets (this may be a minor change in many cases) and Georgia and Missouri must submit initial SIP plans for the fine grid portions of each state. These revisions are referred to as the Phase II SIP call. EPA is proposing a SIP submittal time frame for Phase II of 128 days to 1 year from final promulgation of this rulemaking but no later than April 1, 2002, (the EPA anticipates finalizing rulemaking in early Spring 2001). Comments regarding the appropriate timeframe have been requested.</w:t>
      </w:r>
    </w:p>
    <w:p>
      <w:pPr>
        <w:pStyle w:val="NormalWeb"/>
        <w:spacing w:before="0" w:after="0"/>
        <w:rPr>
          <w:rFonts w:ascii="Arial" w:hAnsi="Arial" w:cs="Arial"/>
          <w:i/>
          <w:i/>
          <w:iCs/>
          <w:sz w:val="18"/>
        </w:rPr>
      </w:pPr>
      <w:r>
        <w:rPr>
          <w:rFonts w:cs="Arial" w:ascii="Arial" w:hAnsi="Arial"/>
          <w:i/>
          <w:iCs/>
          <w:sz w:val="18"/>
        </w:rPr>
      </w:r>
    </w:p>
    <w:p>
      <w:pPr>
        <w:pStyle w:val="NormalWeb"/>
        <w:spacing w:before="0" w:after="0"/>
        <w:rPr>
          <w:rFonts w:ascii="Arial" w:hAnsi="Arial" w:cs="Arial"/>
          <w:sz w:val="18"/>
        </w:rPr>
      </w:pPr>
      <w:r>
        <w:rPr>
          <w:rFonts w:cs="Arial" w:ascii="Arial" w:hAnsi="Arial"/>
          <w:i/>
          <w:iCs/>
          <w:sz w:val="18"/>
        </w:rPr>
        <w:t>Compliance Date</w:t>
      </w:r>
    </w:p>
    <w:p>
      <w:pPr>
        <w:pStyle w:val="NormalWeb"/>
        <w:spacing w:before="0" w:after="0"/>
        <w:rPr>
          <w:rFonts w:ascii="Arial" w:hAnsi="Arial" w:cs="Arial"/>
          <w:sz w:val="18"/>
        </w:rPr>
      </w:pPr>
      <w:r>
        <w:rPr>
          <w:rFonts w:cs="Arial" w:ascii="Arial" w:hAnsi="Arial"/>
          <w:sz w:val="18"/>
        </w:rPr>
        <w:t>The proposed compliance date for all affected states is May 31, 2004 for sources included under a Phase II SIP and for all affected sources in Georgia and Missouri. This is the same deadline as previously set for the SIP call.</w:t>
      </w:r>
    </w:p>
    <w:p>
      <w:pPr>
        <w:pStyle w:val="NormalWeb"/>
        <w:spacing w:before="0" w:after="0"/>
        <w:rPr>
          <w:rFonts w:ascii="Arial" w:hAnsi="Arial" w:cs="Arial"/>
          <w:sz w:val="18"/>
        </w:rPr>
      </w:pPr>
      <w:r>
        <w:rPr>
          <w:rFonts w:cs="Arial" w:ascii="Arial" w:hAnsi="Arial"/>
          <w:sz w:val="18"/>
        </w:rPr>
      </w:r>
    </w:p>
    <w:p>
      <w:pPr>
        <w:pStyle w:val="NormalWeb"/>
        <w:spacing w:before="0" w:after="0"/>
        <w:rPr>
          <w:rFonts w:ascii="Arial" w:hAnsi="Arial" w:cs="Arial"/>
          <w:sz w:val="18"/>
        </w:rPr>
      </w:pPr>
      <w:r>
        <w:rPr>
          <w:rFonts w:cs="Arial" w:ascii="Arial" w:hAnsi="Arial"/>
          <w:b/>
          <w:bCs/>
          <w:sz w:val="18"/>
        </w:rPr>
        <w:t>Wisconsin</w:t>
      </w:r>
    </w:p>
    <w:p>
      <w:pPr>
        <w:pStyle w:val="NormalWeb"/>
        <w:spacing w:before="0" w:after="0"/>
        <w:rPr>
          <w:rFonts w:ascii="Arial" w:hAnsi="Arial" w:cs="Arial"/>
          <w:sz w:val="18"/>
        </w:rPr>
      </w:pPr>
      <w:r>
        <w:rPr>
          <w:rFonts w:cs="Arial" w:ascii="Arial" w:hAnsi="Arial"/>
          <w:sz w:val="18"/>
        </w:rPr>
        <w:t>The court excluded Wisconsin from the SIP call. In this proposed rule, the EPA confirms that the state of Wisconsin will not be required to participate in the SIP Call. However, the EPA plans to continue developing evidence to support the theory that Wisconsin significantly contributes to the nonattainment of downwind states. Wisconsin will remain part of the 8-hour ozone standard currently under review.</w:t>
      </w:r>
    </w:p>
    <w:p>
      <w:pPr>
        <w:pStyle w:val="NormalWeb"/>
        <w:spacing w:before="0" w:after="0"/>
        <w:rPr>
          <w:rFonts w:ascii="Arial" w:hAnsi="Arial" w:cs="Arial"/>
          <w:sz w:val="18"/>
        </w:rPr>
      </w:pPr>
      <w:r>
        <w:rPr>
          <w:rFonts w:cs="Arial" w:ascii="Arial" w:hAnsi="Arial"/>
          <w:sz w:val="18"/>
        </w:rPr>
      </w:r>
    </w:p>
    <w:p>
      <w:pPr>
        <w:pStyle w:val="NormalWeb"/>
        <w:spacing w:before="0" w:after="0"/>
        <w:rPr>
          <w:rFonts w:ascii="Arial" w:hAnsi="Arial" w:cs="Arial"/>
          <w:sz w:val="18"/>
        </w:rPr>
      </w:pPr>
      <w:r>
        <w:rPr>
          <w:rFonts w:cs="Arial" w:ascii="Arial" w:hAnsi="Arial"/>
          <w:b/>
          <w:bCs/>
          <w:sz w:val="18"/>
        </w:rPr>
        <w:t>Three State MOU</w:t>
      </w:r>
    </w:p>
    <w:p>
      <w:pPr>
        <w:pStyle w:val="NormalWeb"/>
        <w:spacing w:before="0" w:after="0"/>
        <w:rPr/>
      </w:pPr>
      <w:r>
        <w:rPr>
          <w:rFonts w:cs="Arial" w:ascii="Arial" w:hAnsi="Arial"/>
          <w:sz w:val="18"/>
        </w:rPr>
        <w:t>Connecticut, Massachusetts and Rhode Island have signed a Memorandum of Understanding which redistributed NO</w:t>
      </w:r>
      <w:r>
        <w:rPr>
          <w:rFonts w:cs="Arial" w:ascii="Arial" w:hAnsi="Arial"/>
          <w:sz w:val="18"/>
          <w:vertAlign w:val="subscript"/>
        </w:rPr>
        <w:t>x</w:t>
      </w:r>
      <w:r>
        <w:rPr>
          <w:rFonts w:cs="Arial" w:ascii="Arial" w:hAnsi="Arial"/>
          <w:sz w:val="18"/>
        </w:rPr>
        <w:t xml:space="preserve"> budget totals among the three states. EPA's latest proposal will not affect the EGU budgets previously proposed by the EPA for those states.</w:t>
      </w:r>
    </w:p>
    <w:p>
      <w:pPr>
        <w:pStyle w:val="NormalWeb"/>
        <w:spacing w:before="0" w:after="0"/>
        <w:rPr>
          <w:rFonts w:ascii="Arial" w:hAnsi="Arial" w:cs="Arial"/>
          <w:sz w:val="18"/>
        </w:rPr>
      </w:pPr>
      <w:r>
        <w:rPr>
          <w:rFonts w:cs="Arial" w:ascii="Arial" w:hAnsi="Arial"/>
          <w:sz w:val="18"/>
        </w:rPr>
      </w:r>
    </w:p>
    <w:p>
      <w:pPr>
        <w:pStyle w:val="NormalWeb"/>
        <w:spacing w:before="0" w:after="0"/>
        <w:rPr>
          <w:rFonts w:ascii="Arial" w:hAnsi="Arial" w:cs="Arial"/>
          <w:sz w:val="18"/>
        </w:rPr>
      </w:pPr>
      <w:r>
        <w:rPr>
          <w:rFonts w:cs="Arial" w:ascii="Arial" w:hAnsi="Arial"/>
          <w:sz w:val="18"/>
        </w:rPr>
      </w:r>
    </w:p>
    <w:p>
      <w:pPr>
        <w:pStyle w:val="NormalWeb"/>
        <w:spacing w:before="0" w:after="0"/>
        <w:rPr>
          <w:rFonts w:ascii="Arial" w:hAnsi="Arial" w:cs="Arial"/>
          <w:sz w:val="18"/>
        </w:rPr>
      </w:pPr>
      <w:r>
        <w:rPr>
          <w:rFonts w:cs="Arial" w:ascii="Arial" w:hAnsi="Arial"/>
          <w:sz w:val="18"/>
        </w:rPr>
      </w:r>
    </w:p>
    <w:p>
      <w:pPr>
        <w:pStyle w:val="NormalWeb"/>
        <w:spacing w:before="0" w:after="0"/>
        <w:rPr>
          <w:rFonts w:ascii="Arial" w:hAnsi="Arial" w:cs="Arial"/>
          <w:sz w:val="18"/>
        </w:rPr>
      </w:pPr>
      <w:r>
        <w:rPr>
          <w:rFonts w:cs="Arial" w:ascii="Arial" w:hAnsi="Arial"/>
          <w:sz w:val="18"/>
        </w:rPr>
      </w:r>
    </w:p>
    <w:p>
      <w:pPr>
        <w:pStyle w:val="NormalWeb"/>
        <w:spacing w:before="0" w:after="0"/>
        <w:rPr>
          <w:rFonts w:ascii="Arial" w:hAnsi="Arial" w:cs="Arial"/>
          <w:sz w:val="18"/>
        </w:rPr>
      </w:pPr>
      <w:r>
        <w:rPr>
          <w:rFonts w:cs="Arial" w:ascii="Arial" w:hAnsi="Arial"/>
          <w:sz w:val="18"/>
        </w:rPr>
      </w:r>
    </w:p>
    <w:p>
      <w:pPr>
        <w:pStyle w:val="NormalWeb"/>
        <w:spacing w:before="0" w:after="0"/>
        <w:rPr>
          <w:rFonts w:ascii="Arial" w:hAnsi="Arial" w:cs="Arial"/>
          <w:sz w:val="18"/>
        </w:rPr>
      </w:pPr>
      <w:r>
        <w:rPr>
          <w:rFonts w:cs="Arial" w:ascii="Arial" w:hAnsi="Arial"/>
          <w:sz w:val="18"/>
        </w:rPr>
      </w:r>
    </w:p>
    <w:p>
      <w:pPr>
        <w:pStyle w:val="NormalWeb"/>
        <w:spacing w:before="0" w:after="0"/>
        <w:rPr>
          <w:rFonts w:ascii="Arial" w:hAnsi="Arial" w:cs="Arial"/>
          <w:sz w:val="18"/>
        </w:rPr>
      </w:pPr>
      <w:r>
        <w:rPr>
          <w:rFonts w:cs="Arial" w:ascii="Arial" w:hAnsi="Arial"/>
          <w:sz w:val="18"/>
        </w:rPr>
      </w:r>
    </w:p>
    <w:p>
      <w:pPr>
        <w:pStyle w:val="NormalWeb"/>
        <w:spacing w:before="0" w:after="0"/>
        <w:rPr>
          <w:rFonts w:ascii="Arial" w:hAnsi="Arial" w:cs="Arial"/>
          <w:sz w:val="18"/>
        </w:rPr>
      </w:pPr>
      <w:r>
        <w:rPr>
          <w:rFonts w:cs="Arial" w:ascii="Arial" w:hAnsi="Arial"/>
          <w:sz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2001-08-21T16:57:00Z</dcterms:created>
  <dc:creator>Mary Schoen</dc:creator>
  <dc:description/>
  <dc:language>en-CA</dc:language>
  <cp:lastModifiedBy>Mary Schoen</cp:lastModifiedBy>
  <cp:lastPrinted>2001-08-21T17:25:00Z</cp:lastPrinted>
  <dcterms:modified xsi:type="dcterms:W3CDTF">2001-08-23T15:59:00Z</dcterms:modified>
  <cp:revision>4</cp:revision>
  <dc:subject/>
  <dc:title>NOx SIP Call Background</dc:title>
</cp:coreProperties>
</file>