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sz w:val="22"/>
              </w:rPr>
            </w:pPr>
            <w:bookmarkStart w:id="0" w:name="to"/>
            <w:bookmarkEnd w:id="0"/>
            <w:r>
              <w:rPr>
                <w:sz w:val="22"/>
              </w:rPr>
              <w:t>Keith Petersen</w:t>
            </w:r>
          </w:p>
        </w:tc>
        <w:tc>
          <w:tcPr>
            <w:tcW w:w="990" w:type="dxa"/>
            <w:tcBorders/>
          </w:tcPr>
          <w:p>
            <w:pPr>
              <w:pStyle w:val="Normal"/>
              <w:snapToGrid w:val="false"/>
              <w:ind w:start="-180" w:end="0"/>
              <w:rPr>
                <w:sz w:val="22"/>
              </w:rPr>
            </w:pPr>
            <w:r>
              <w:rPr>
                <w:sz w:val="22"/>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sz w:val="22"/>
              </w:rPr>
            </w:pPr>
            <w:r>
              <w:rPr>
                <w:sz w:val="22"/>
              </w:rPr>
              <w:t>Donna Martens</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sz w:val="22"/>
              </w:rPr>
            </w:pPr>
            <w:bookmarkStart w:id="1" w:name="From"/>
            <w:bookmarkEnd w:id="1"/>
            <w:r>
              <w:rPr>
                <w:sz w:val="22"/>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22"/>
              </w:rPr>
            </w:pPr>
            <w:r>
              <w:rPr>
                <w:sz w:val="22"/>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sz w:val="22"/>
              </w:rPr>
            </w:pPr>
            <w:bookmarkStart w:id="2" w:name="Subject"/>
            <w:bookmarkEnd w:id="2"/>
            <w:r>
              <w:rPr>
                <w:sz w:val="22"/>
              </w:rPr>
              <w:t>Certificate Status Report – Omaha</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sz w:val="22"/>
              </w:rPr>
            </w:pPr>
            <w:r>
              <w:rPr>
                <w:sz w:val="22"/>
              </w:rPr>
              <w:t>November 1,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eight (8) </w:t>
      </w:r>
      <w:r>
        <w:rPr>
          <w:sz w:val="22"/>
        </w:rPr>
        <w:t xml:space="preserve">project(s) to be filed.  Certain of these projects require action by other groups before the Certificates &amp; Reporting department can proceed with the FERC filings.  </w:t>
      </w:r>
      <w:r>
        <w:rPr>
          <w:b/>
          <w:sz w:val="22"/>
        </w:rPr>
        <w:t>Updates on existing projects which have occurred since the last report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tabs>
          <w:tab w:val="left" w:pos="-240" w:leader="none"/>
          <w:tab w:val="left" w:pos="480" w:leader="none"/>
          <w:tab w:val="left" w:pos="1200" w:leader="none"/>
          <w:tab w:val="left" w:pos="135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rPr/>
      </w:pPr>
      <w:r>
        <w:rPr/>
        <w:t>To the extent you are aware of a project that is not referenced, please feel free to call me at extension 7138 in 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t>Distribution:</w:t>
      </w:r>
    </w:p>
    <w:tbl>
      <w:tblPr>
        <w:tblW w:w="10930" w:type="dxa"/>
        <w:jc w:val="start"/>
        <w:tblInd w:w="0" w:type="dxa"/>
        <w:tblLayout w:type="fixed"/>
        <w:tblCellMar>
          <w:top w:w="0" w:type="dxa"/>
          <w:start w:w="108" w:type="dxa"/>
          <w:bottom w:w="0" w:type="dxa"/>
          <w:end w:w="108" w:type="dxa"/>
        </w:tblCellMar>
      </w:tblPr>
      <w:tblGrid>
        <w:gridCol w:w="2732"/>
        <w:gridCol w:w="2732"/>
        <w:gridCol w:w="2733"/>
        <w:gridCol w:w="2733"/>
      </w:tblGrid>
      <w:tr>
        <w:trPr/>
        <w:tc>
          <w:tcPr>
            <w:tcW w:w="2732" w:type="dxa"/>
            <w:tcBorders/>
          </w:tcPr>
          <w:p>
            <w:pPr>
              <w:pStyle w:val="Normal"/>
              <w:ind w:start="540" w:end="0"/>
              <w:rPr>
                <w:b/>
                <w:bCs/>
                <w:sz w:val="17"/>
              </w:rPr>
            </w:pPr>
            <w:r>
              <w:rPr>
                <w:b/>
                <w:bCs/>
                <w:sz w:val="17"/>
              </w:rPr>
              <w:t>D. McCarty</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D. Fossum</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M.K. Miller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Hartsoe</w:t>
            </w:r>
          </w:p>
        </w:tc>
        <w:tc>
          <w:tcPr>
            <w:tcW w:w="2733" w:type="dxa"/>
            <w:tcBorders/>
          </w:tcPr>
          <w:p>
            <w:pPr>
              <w:pStyle w:val="Normal"/>
              <w:ind w:start="540" w:end="0"/>
              <w:rPr>
                <w:b/>
                <w:bCs/>
                <w:sz w:val="17"/>
              </w:rPr>
            </w:pPr>
            <w:r>
              <w:rPr>
                <w:b/>
                <w:bCs/>
                <w:sz w:val="17"/>
              </w:rPr>
              <w:t>Washington, DC</w:t>
            </w:r>
          </w:p>
        </w:tc>
      </w:tr>
      <w:tr>
        <w:trPr/>
        <w:tc>
          <w:tcPr>
            <w:tcW w:w="2732" w:type="dxa"/>
            <w:tcBorders/>
          </w:tcPr>
          <w:p>
            <w:pPr>
              <w:pStyle w:val="Normal"/>
              <w:ind w:start="540" w:end="0"/>
              <w:rPr>
                <w:b/>
                <w:bCs/>
                <w:sz w:val="17"/>
              </w:rPr>
            </w:pPr>
            <w:r>
              <w:rPr>
                <w:b/>
                <w:bCs/>
                <w:sz w:val="17"/>
              </w:rPr>
              <w:t>S. Harris</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R. Hayslett</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D. Neubauer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P. Lowry</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G. Porter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Keller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Soldano</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Martin</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 McGowan</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D. Pribble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K. Miller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R. Rice</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J. Dushinske</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Shafer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B. Fowler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Bonnstetter</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S. Gilbert</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D. Clements</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G. Taylor</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McGee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G. Hass</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T. Geaccone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S. Kirk</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Gottesponer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T. Kissner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Ratner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 Loeffler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N. Spalding</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Stanton</w:t>
            </w:r>
          </w:p>
        </w:tc>
        <w:tc>
          <w:tcPr>
            <w:tcW w:w="2732" w:type="dxa"/>
            <w:tcBorders/>
          </w:tcPr>
          <w:p>
            <w:pPr>
              <w:pStyle w:val="Normal"/>
              <w:ind w:start="540" w:end="0"/>
              <w:rPr>
                <w:b/>
                <w:bCs/>
                <w:sz w:val="17"/>
              </w:rPr>
            </w:pPr>
            <w:r>
              <w:rPr>
                <w:b/>
                <w:bCs/>
                <w:sz w:val="17"/>
              </w:rPr>
              <w:t>Minneapolis</w:t>
            </w:r>
          </w:p>
        </w:tc>
        <w:tc>
          <w:tcPr>
            <w:tcW w:w="2733" w:type="dxa"/>
            <w:tcBorders/>
          </w:tcPr>
          <w:p>
            <w:pPr>
              <w:pStyle w:val="Normal"/>
              <w:ind w:start="540" w:end="0"/>
              <w:rPr>
                <w:b/>
                <w:bCs/>
                <w:sz w:val="17"/>
              </w:rPr>
            </w:pPr>
            <w:r>
              <w:rPr>
                <w:b/>
                <w:bCs/>
                <w:sz w:val="17"/>
              </w:rPr>
              <w:t>B. Chandler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S. January</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Centilli</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Trevino</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Cobb, Jr.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C. Graham</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E. Concklin</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F. Carriere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D. Waymire</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Nancy Bagot</w:t>
            </w:r>
          </w:p>
        </w:tc>
        <w:tc>
          <w:tcPr>
            <w:tcW w:w="2732" w:type="dxa"/>
            <w:tcBorders/>
          </w:tcPr>
          <w:p>
            <w:pPr>
              <w:pStyle w:val="Normal"/>
              <w:ind w:start="540" w:end="0"/>
              <w:rPr>
                <w:b/>
                <w:bCs/>
                <w:sz w:val="17"/>
              </w:rPr>
            </w:pPr>
            <w:r>
              <w:rPr>
                <w:b/>
                <w:bCs/>
                <w:sz w:val="17"/>
              </w:rPr>
              <w:t>Washington, DC</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Mike Van Norden</w:t>
            </w:r>
          </w:p>
        </w:tc>
        <w:tc>
          <w:tcPr>
            <w:tcW w:w="2732" w:type="dxa"/>
            <w:tcBorders/>
          </w:tcPr>
          <w:p>
            <w:pPr>
              <w:pStyle w:val="Normal"/>
              <w:ind w:start="540" w:end="0"/>
              <w:rPr>
                <w:b/>
                <w:bCs/>
                <w:sz w:val="17"/>
              </w:rPr>
            </w:pPr>
            <w:r>
              <w:rPr>
                <w:b/>
                <w:bCs/>
                <w:sz w:val="17"/>
              </w:rPr>
              <w:t>Washington, DC</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Janet Butler</w:t>
            </w:r>
          </w:p>
        </w:tc>
        <w:tc>
          <w:tcPr>
            <w:tcW w:w="2732" w:type="dxa"/>
            <w:tcBorders/>
          </w:tcPr>
          <w:p>
            <w:pPr>
              <w:pStyle w:val="Normal"/>
              <w:ind w:start="540" w:end="0"/>
              <w:rPr>
                <w:b/>
                <w:bCs/>
                <w:sz w:val="17"/>
              </w:rPr>
            </w:pPr>
            <w:r>
              <w:rPr>
                <w:b/>
                <w:bCs/>
                <w:sz w:val="17"/>
              </w:rPr>
              <w:t>Houston</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ind w:start="540" w:end="0"/>
              <w:rPr>
                <w:b/>
                <w:bCs/>
                <w:sz w:val="17"/>
              </w:rPr>
            </w:pPr>
            <w:r>
              <w:rPr>
                <w:b/>
                <w:bCs/>
                <w:sz w:val="17"/>
              </w:rPr>
              <w:t>Operations – Regional Directors</w:t>
            </w:r>
          </w:p>
        </w:tc>
        <w:tc>
          <w:tcPr>
            <w:tcW w:w="2733" w:type="dxa"/>
            <w:tcBorders/>
          </w:tcPr>
          <w:p>
            <w:pPr>
              <w:pStyle w:val="Normal"/>
              <w:ind w:start="540" w:end="0"/>
              <w:rPr>
                <w:b/>
                <w:bCs/>
                <w:sz w:val="17"/>
              </w:rPr>
            </w:pPr>
            <w:r>
              <w:rPr>
                <w:b/>
                <w:bCs/>
                <w:sz w:val="17"/>
              </w:rPr>
              <w:t>Legal Department</w:t>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ind w:start="540" w:end="0"/>
              <w:rPr>
                <w:b/>
                <w:bCs/>
                <w:sz w:val="17"/>
              </w:rPr>
            </w:pPr>
            <w:r>
              <w:rPr>
                <w:b/>
                <w:bCs/>
                <w:sz w:val="17"/>
              </w:rPr>
              <w:t>Marketing Account Managers</w:t>
            </w:r>
          </w:p>
        </w:tc>
        <w:tc>
          <w:tcPr>
            <w:tcW w:w="5466" w:type="dxa"/>
            <w:gridSpan w:val="2"/>
            <w:tcBorders/>
          </w:tcPr>
          <w:p>
            <w:pPr>
              <w:pStyle w:val="Normal"/>
              <w:ind w:start="540" w:end="0"/>
              <w:rPr>
                <w:b/>
                <w:bCs/>
                <w:sz w:val="17"/>
              </w:rPr>
            </w:pPr>
            <w:r>
              <w:rPr>
                <w:b/>
                <w:bCs/>
                <w:sz w:val="17"/>
              </w:rPr>
              <w:t>Facility Planning Department</w:t>
            </w:r>
          </w:p>
        </w:tc>
      </w:tr>
      <w:tr>
        <w:trPr/>
        <w:tc>
          <w:tcPr>
            <w:tcW w:w="2732" w:type="dxa"/>
            <w:tcBorders/>
          </w:tcPr>
          <w:p>
            <w:pPr>
              <w:pStyle w:val="Normal"/>
              <w:ind w:start="540" w:end="0"/>
              <w:rPr>
                <w:b/>
                <w:bCs/>
                <w:sz w:val="17"/>
              </w:rPr>
            </w:pPr>
            <w:r>
              <w:rPr>
                <w:b/>
                <w:bCs/>
                <w:sz w:val="17"/>
              </w:rPr>
              <w:t>Construction Coordinators</w:t>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Project Managers</w:t>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Right-of-way Department</w:t>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Certificate Department</w:t>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bl>
    <w:p>
      <w:pPr>
        <w:pStyle w:val="Normal"/>
        <w:rPr>
          <w:b/>
          <w:bCs/>
          <w:sz w:val="17"/>
        </w:rPr>
      </w:pPr>
      <w:r>
        <w:rPr>
          <w:b/>
          <w:bCs/>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rFonts w:ascii="Times New Roman" w:hAnsi="Times New Roman" w:cs="Times New Roman"/>
          <w:b/>
          <w:sz w:val="12"/>
        </w:rPr>
      </w:pPr>
      <w:r>
        <w:rPr>
          <w:rFonts w:cs="Times New Roman" w:ascii="Times New Roman" w:hAnsi="Times New Roman"/>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vAlign w:val="center"/>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rPr>
              <w:rFonts w:ascii="Times New Roman" w:hAnsi="Times New Roman" w:cs="Times New Roman"/>
              <w:b w:val="false"/>
              <w:caps w:val="false"/>
              <w:smallCaps w:val="false"/>
              <w:szCs w:val="24"/>
              <w:lang w:val="en-CA" w:eastAsia="en-CA"/>
            </w:rPr>
          </w:pPr>
          <w:r>
            <w:fldChar w:fldCharType="begin"/>
          </w:r>
          <w:r>
            <w:rPr>
              <w:szCs w:val="28"/>
              <w:lang w:val="en-CA" w:eastAsia="en-CA"/>
            </w:rPr>
            <w:instrText xml:space="preserve"> TOC \o "1-3" </w:instrText>
          </w:r>
          <w:r>
            <w:rPr>
              <w:szCs w:val="28"/>
              <w:lang w:val="en-CA" w:eastAsia="en-CA"/>
            </w:rPr>
            <w:fldChar w:fldCharType="separate"/>
          </w:r>
          <w:r>
            <w:rPr>
              <w:szCs w:val="28"/>
              <w:lang w:val="en-CA" w:eastAsia="en-CA"/>
            </w:rPr>
            <w:t>FERC AUTHORIZATION RECEIVED</w:t>
          </w:r>
          <w:r>
            <w:rPr>
              <w:lang w:val="en-CA" w:eastAsia="en-CA"/>
            </w:rPr>
            <w:tab/>
          </w:r>
          <w:hyperlink w:anchor="__RefHeading___Toc521138822">
            <w:r>
              <w:rPr>
                <w:rStyle w:val="IndexLink"/>
                <w:lang w:val="en-CA" w:eastAsia="en-CA"/>
              </w:rPr>
              <w:t>1</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NEW APPLICATIONS FILED</w:t>
          </w:r>
          <w:r>
            <w:rPr>
              <w:lang w:val="en-CA" w:eastAsia="en-CA"/>
            </w:rPr>
            <w:tab/>
          </w:r>
          <w:hyperlink w:anchor="__RefHeading___Toc521138823">
            <w:r>
              <w:rPr>
                <w:rStyle w:val="IndexLink"/>
                <w:lang w:val="en-CA" w:eastAsia="en-CA"/>
              </w:rPr>
              <w:t>1</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OTHER DISPOSITIONS OF PROJECTS</w:t>
          </w:r>
          <w:r>
            <w:rPr>
              <w:lang w:val="en-CA" w:eastAsia="en-CA"/>
            </w:rPr>
            <w:tab/>
          </w:r>
          <w:hyperlink w:anchor="__RefHeading___Toc521138824">
            <w:r>
              <w:rPr>
                <w:rStyle w:val="IndexLink"/>
                <w:lang w:val="en-CA" w:eastAsia="en-CA"/>
              </w:rPr>
              <w:t>1</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APPLICATIONS APPROVED WITH CONDITIONS</w:t>
          </w:r>
          <w:r>
            <w:rPr>
              <w:lang w:val="en-CA" w:eastAsia="en-CA"/>
            </w:rPr>
            <w:tab/>
          </w:r>
          <w:hyperlink w:anchor="__RefHeading___Toc521138825">
            <w:r>
              <w:rPr>
                <w:rStyle w:val="IndexLink"/>
                <w:lang w:val="en-CA" w:eastAsia="en-CA"/>
              </w:rPr>
              <w:t>2</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APPLICATIONS PENDING FERC APPROVAL</w:t>
          </w:r>
          <w:r>
            <w:rPr>
              <w:lang w:val="en-CA" w:eastAsia="en-CA"/>
            </w:rPr>
            <w:tab/>
          </w:r>
          <w:hyperlink w:anchor="__RefHeading___Toc521138826">
            <w:r>
              <w:rPr>
                <w:rStyle w:val="IndexLink"/>
                <w:lang w:val="en-CA" w:eastAsia="en-CA"/>
              </w:rPr>
              <w:t>6</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PROJECTS TO BE FILED</w:t>
          </w:r>
          <w:r>
            <w:rPr>
              <w:lang w:val="en-CA" w:eastAsia="en-CA"/>
            </w:rPr>
            <w:tab/>
          </w:r>
          <w:hyperlink w:anchor="__RefHeading___Toc521138827">
            <w:r>
              <w:rPr>
                <w:rStyle w:val="IndexLink"/>
                <w:lang w:val="en-CA" w:eastAsia="en-CA"/>
              </w:rPr>
              <w:t>7</w:t>
            </w:r>
          </w:hyperlink>
          <w:r>
            <w:rPr>
              <w:rStyle w:val="IndexLink"/>
              <w:lang w:val="en-CA" w:eastAsia="en-CA"/>
            </w:rPr>
            <w:fldChar w:fldCharType="end"/>
          </w:r>
        </w:p>
      </w:sdtContent>
    </w:sdt>
    <w:p>
      <w:pPr>
        <w:pStyle w:val="TOC1"/>
        <w:jc w:val="center"/>
        <w:rPr>
          <w:rFonts w:ascii="Courier" w:hAnsi="Courier" w:cs="Courier"/>
          <w:b w:val="false"/>
          <w:caps w:val="false"/>
          <w:smallCaps w:val="false"/>
          <w:sz w:val="28"/>
          <w:szCs w:val="24"/>
          <w:lang w:val="en-CA" w:eastAsia="en-CA"/>
        </w:rPr>
      </w:pPr>
      <w:r>
        <w:rPr>
          <w:rFonts w:cs="Courier" w:ascii="Courier" w:hAnsi="Courier"/>
          <w:b w:val="false"/>
          <w:caps w:val="false"/>
          <w:smallCaps w:val="false"/>
          <w:sz w:val="28"/>
          <w:szCs w:val="24"/>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vAlign w:val="center"/>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bookmarkStart w:id="3" w:name="__RefHeading___Toc521138822"/>
      <w:bookmarkEnd w:id="3"/>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CP01-437</w:t>
        <w:tab/>
      </w:r>
      <w:r>
        <w:rPr>
          <w:b/>
          <w:bCs/>
          <w:sz w:val="22"/>
        </w:rPr>
        <w:t>T-54 Rate Schedule</w:t>
      </w:r>
      <w:r>
        <w:rPr>
          <w:sz w:val="22"/>
        </w:rPr>
        <w:t xml:space="preserve"> </w:t>
      </w:r>
      <w:r>
        <w:rPr>
          <w:b/>
          <w:bCs/>
          <w:sz w:val="22"/>
        </w:rPr>
        <w:t xml:space="preserve">Abandonment - </w:t>
      </w:r>
      <w:r>
        <w:rPr>
          <w:sz w:val="22"/>
        </w:rPr>
        <w:t xml:space="preserve">Section 7(b) application for permission and approval to abandon service to Williams Gas Pipeline Central, Inc., formerly Northwest Central Pipeline Company under Rate Schedule T-54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08/29/01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Order Approving Abandonment:</w:t>
        <w:tab/>
        <w:t xml:space="preserve">10/22/01  </w:t>
      </w:r>
      <w:r>
        <w:rPr>
          <w:sz w:val="16"/>
        </w:rPr>
        <w:t>97 FERC ¶ 62,063  (2001)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BodyTextIndent2"/>
        <w:rPr>
          <w:rFonts w:ascii="Times New Roman" w:hAnsi="Times New Roman" w:cs="Times New Roman"/>
          <w:sz w:val="22"/>
        </w:rPr>
      </w:pPr>
      <w:r>
        <w:rPr>
          <w:rFonts w:cs="Times New Roman" w:ascii="Times New Roman" w:hAnsi="Times New Roman"/>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bookmarkStart w:id="4" w:name="__RefHeading___Toc521138823"/>
      <w:bookmarkEnd w:id="4"/>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rPr>
      </w:pPr>
      <w:r>
        <w:rPr>
          <w:b/>
        </w:rPr>
        <w:t>NONE</w:t>
      </w:r>
    </w:p>
    <w:p>
      <w:pPr>
        <w:pStyle w:val="Normal"/>
        <w:keepNext w:val="true"/>
        <w:keepLines/>
        <w:rPr>
          <w:b/>
          <w:bCs/>
        </w:rPr>
      </w:pPr>
      <w:r>
        <w:rPr>
          <w:b/>
          <w:bCs/>
        </w:rPr>
      </w:r>
    </w:p>
    <w:p>
      <w:pPr>
        <w:pStyle w:val="Heading1"/>
        <w:keepLines/>
        <w:pBdr>
          <w:top w:val="single" w:sz="12" w:space="1" w:color="000000" w:shadow="1"/>
          <w:left w:val="single" w:sz="12" w:space="1" w:color="000000" w:shadow="1"/>
          <w:bottom w:val="single" w:sz="12" w:space="1" w:color="000000" w:shadow="1"/>
          <w:right w:val="single" w:sz="12" w:space="1" w:color="000000" w:shadow="1"/>
        </w:pBdr>
        <w:ind w:hanging="0" w:start="0"/>
        <w:rPr/>
      </w:pPr>
      <w:bookmarkStart w:id="5" w:name="__RefHeading___Toc521138824"/>
      <w:bookmarkEnd w:id="5"/>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keepNext w:val="true"/>
        <w:keepLines/>
        <w:tabs>
          <w:tab w:val="left" w:pos="720" w:leader="none"/>
          <w:tab w:val="center" w:pos="4920" w:leader="none"/>
        </w:tabs>
        <w:ind w:hanging="720" w:start="720" w:end="720"/>
        <w:jc w:val="center"/>
        <w:rPr>
          <w:b/>
        </w:rPr>
      </w:pPr>
      <w:r>
        <w:rPr>
          <w:b/>
        </w:rPr>
      </w:r>
    </w:p>
    <w:p>
      <w:pPr>
        <w:pStyle w:val="Normal"/>
        <w:keepNext w:val="true"/>
        <w:keepLines/>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b/>
          <w:bCs/>
          <w:sz w:val="22"/>
        </w:rPr>
        <w:t>CP01-147</w:t>
      </w:r>
      <w:r>
        <w:rPr>
          <w:sz w:val="22"/>
        </w:rPr>
        <w:tab/>
      </w:r>
      <w:r>
        <w:rPr>
          <w:b/>
          <w:bCs/>
          <w:sz w:val="22"/>
        </w:rPr>
        <w:t>T-2 Rate Schedule</w:t>
      </w:r>
      <w:r>
        <w:rPr>
          <w:sz w:val="22"/>
        </w:rPr>
        <w:t xml:space="preserve"> </w:t>
      </w:r>
      <w:r>
        <w:rPr>
          <w:b/>
          <w:bCs/>
          <w:sz w:val="22"/>
        </w:rPr>
        <w:t xml:space="preserve">Abandonment - </w:t>
      </w:r>
      <w:r>
        <w:rPr>
          <w:sz w:val="22"/>
        </w:rPr>
        <w:t xml:space="preserve">Section 7(b) application for permission and approval to abandon service to El Paso under the T-2 Rate Schedule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04/06/01</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16"/>
        </w:rPr>
      </w:pPr>
      <w:r>
        <w:rPr/>
        <w:tab/>
        <w:tab/>
        <w:tab/>
      </w:r>
      <w:r>
        <w:rPr>
          <w:sz w:val="22"/>
        </w:rPr>
        <w:t>Order Approving Abandonment:</w:t>
        <w:tab/>
        <w:t>08/9/01</w:t>
      </w:r>
      <w:r>
        <w:rPr>
          <w:sz w:val="18"/>
        </w:rPr>
        <w:t xml:space="preserve">  96 FERC ¶62,136 (2001)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ind w:hanging="1440" w:start="1440" w:end="0"/>
        <w:rPr>
          <w:b/>
          <w:sz w:val="22"/>
        </w:rPr>
      </w:pPr>
      <w:r>
        <w:rPr>
          <w:b/>
          <w:sz w:val="22"/>
        </w:rPr>
        <w:t>CP01-175</w:t>
        <w:tab/>
        <w:t xml:space="preserve">MULLINVILLE UNITS #1-5 ABANDONMENT - </w:t>
      </w:r>
      <w:r>
        <w:rPr>
          <w:sz w:val="22"/>
        </w:rPr>
        <w:t xml:space="preserve">Section 7(b) application requesting permission and approval to abandon in-place units #1-5 at the Mullinville compressor station.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04/23/01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Approving Abandonment:</w:t>
        <w:tab/>
        <w:t>06/01/01</w:t>
      </w:r>
      <w:r>
        <w:rPr/>
        <w:t xml:space="preserve">  </w:t>
      </w:r>
      <w:r>
        <w:rPr>
          <w:sz w:val="16"/>
        </w:rPr>
        <w:t>95 FERC ¶ 62,208  (2001)</w:t>
      </w:r>
    </w:p>
    <w:p>
      <w:pPr>
        <w:pStyle w:val="Heading5"/>
        <w:rPr/>
      </w:pPr>
      <w:r>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rPr>
      </w:pPr>
      <w:r>
        <w:rPr>
          <w:b/>
          <w:bCs/>
          <w:sz w:val="22"/>
        </w:rPr>
        <w:t>CP01-374</w:t>
      </w:r>
      <w:r>
        <w:rPr>
          <w:sz w:val="22"/>
        </w:rPr>
        <w:tab/>
      </w:r>
      <w:r>
        <w:rPr>
          <w:b/>
          <w:bCs/>
          <w:sz w:val="22"/>
        </w:rPr>
        <w:t>X-26 Rate Schedule</w:t>
      </w:r>
      <w:r>
        <w:rPr>
          <w:sz w:val="22"/>
        </w:rPr>
        <w:t xml:space="preserve"> </w:t>
      </w:r>
      <w:r>
        <w:rPr>
          <w:b/>
          <w:bCs/>
          <w:sz w:val="22"/>
        </w:rPr>
        <w:t xml:space="preserve">Abandonment - </w:t>
      </w:r>
      <w:r>
        <w:rPr>
          <w:sz w:val="22"/>
        </w:rPr>
        <w:t xml:space="preserve">Joint application with Great Lakes Gas Transmission (GLGT) requesting permission and approval to abandon pursuant to Section 7(b) service under Northern’s X-26 Rate Schedule and GLGT’s X-2 Rate Schedule contained in the respective parties’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05/24/01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b/>
          <w:bCs/>
          <w:sz w:val="22"/>
        </w:rPr>
        <w:tab/>
        <w:tab/>
        <w:tab/>
      </w:r>
      <w:r>
        <w:rPr>
          <w:sz w:val="22"/>
        </w:rPr>
        <w:t>Order Approving Abandonment:</w:t>
        <w:tab/>
        <w:t xml:space="preserve">09/04/01  </w:t>
      </w:r>
      <w:r>
        <w:rPr>
          <w:sz w:val="18"/>
        </w:rPr>
        <w:t>96 FERC</w:t>
      </w:r>
      <w:r>
        <w:rPr>
          <w:sz w:val="22"/>
        </w:rPr>
        <w:t xml:space="preserve"> </w:t>
      </w:r>
      <w:r>
        <w:rPr>
          <w:sz w:val="18"/>
        </w:rPr>
        <w:t>¶62,236 (2001)</w:t>
      </w:r>
    </w:p>
    <w:p>
      <w:pPr>
        <w:pStyle w:val="Normal"/>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b/>
          <w:bCs/>
          <w:sz w:val="22"/>
        </w:rPr>
        <w:t>CP01-413</w:t>
      </w:r>
      <w:r>
        <w:rPr>
          <w:sz w:val="22"/>
        </w:rPr>
        <w:tab/>
      </w:r>
      <w:r>
        <w:rPr>
          <w:b/>
          <w:bCs/>
          <w:sz w:val="22"/>
        </w:rPr>
        <w:t>T-12 Rate Schedule</w:t>
      </w:r>
      <w:r>
        <w:rPr>
          <w:sz w:val="22"/>
        </w:rPr>
        <w:t xml:space="preserve"> </w:t>
      </w:r>
      <w:r>
        <w:rPr>
          <w:b/>
          <w:bCs/>
          <w:sz w:val="22"/>
        </w:rPr>
        <w:t xml:space="preserve">Abandonment - </w:t>
      </w:r>
      <w:r>
        <w:rPr>
          <w:sz w:val="22"/>
        </w:rPr>
        <w:t xml:space="preserve">Section 7(b) application for permission and approval to abandon service to Xcel Energy, formerly Northern States Power, under Rate Schedule T-12 contained in Northern's FERC Gas Tariff, Original Volume No. 2.  </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07/25/01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Order Approving Abandonment:</w:t>
        <w:tab/>
        <w:t xml:space="preserve">09/27/01  </w:t>
      </w:r>
      <w:r>
        <w:rPr>
          <w:sz w:val="18"/>
        </w:rPr>
        <w:t>96 FERC</w:t>
      </w:r>
      <w:r>
        <w:rPr>
          <w:sz w:val="22"/>
        </w:rPr>
        <w:t xml:space="preserve"> </w:t>
      </w:r>
      <w:r>
        <w:rPr>
          <w:sz w:val="18"/>
        </w:rPr>
        <w:t>¶62,312 (2001)</w:t>
      </w:r>
    </w:p>
    <w:p>
      <w:pPr>
        <w:pStyle w:val="Normal"/>
        <w:jc w:val="center"/>
        <w:rPr>
          <w:sz w:val="22"/>
        </w:rPr>
      </w:pPr>
      <w:r>
        <w:rPr>
          <w:sz w:val="22"/>
        </w:rPr>
        <w:t>Regulatory Analyst:  Bret</w:t>
      </w:r>
    </w:p>
    <w:p>
      <w:pPr>
        <w:pStyle w:val="BodyTextIndent2"/>
        <w:ind w:hanging="0" w:start="0" w:end="0"/>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b/>
          <w:bCs/>
          <w:sz w:val="22"/>
        </w:rPr>
        <w:t>CP01-428</w:t>
      </w:r>
      <w:r>
        <w:rPr>
          <w:sz w:val="22"/>
        </w:rPr>
        <w:tab/>
      </w:r>
      <w:r>
        <w:rPr>
          <w:b/>
          <w:bCs/>
          <w:sz w:val="22"/>
        </w:rPr>
        <w:t>X-79 Rate Schedule</w:t>
      </w:r>
      <w:r>
        <w:rPr>
          <w:sz w:val="22"/>
        </w:rPr>
        <w:t xml:space="preserve"> </w:t>
      </w:r>
      <w:r>
        <w:rPr>
          <w:b/>
          <w:bCs/>
          <w:sz w:val="22"/>
        </w:rPr>
        <w:t xml:space="preserve">Abandonment - </w:t>
      </w:r>
      <w:r>
        <w:rPr>
          <w:sz w:val="22"/>
        </w:rPr>
        <w:t xml:space="preserve">Section 7(b) joint application for permission and approval to abandon service to Gulf South, formerly Koch Gateway Pipeline under Rate Schedule X-79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08/16/01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Order Approving Abandonment:</w:t>
        <w:tab/>
        <w:t xml:space="preserve">09/24/01  </w:t>
      </w:r>
      <w:r>
        <w:rPr>
          <w:sz w:val="18"/>
        </w:rPr>
        <w:t>96 FERC</w:t>
      </w:r>
      <w:r>
        <w:rPr>
          <w:sz w:val="22"/>
        </w:rPr>
        <w:t xml:space="preserve"> </w:t>
      </w:r>
      <w:r>
        <w:rPr>
          <w:sz w:val="18"/>
        </w:rPr>
        <w:t>¶62,298 (2001)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bookmarkStart w:id="6" w:name="__RefHeading___Toc521138825"/>
      <w:bookmarkEnd w:id="6"/>
      <w:r>
        <w:rPr/>
        <w:t>APPLICATIONS APPROVED WITH CONDITIONS</w:t>
      </w:r>
      <w:r>
        <w:fldChar w:fldCharType="begin"/>
      </w:r>
      <w:r>
        <w:rPr/>
        <w:instrText xml:space="preserve"> XE "APPLICATIONS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Negotiation to sell some or all of the remaining 18 facilities, presently authorized for abandonment, continues.</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Order Approving Abandonment:</w:t>
        <w:tab/>
        <w:tab/>
        <w:t>07/27/95</w:t>
      </w:r>
      <w:r>
        <w:rPr>
          <w:sz w:val="18"/>
        </w:rPr>
        <w:t xml:space="preserve">  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08/28/95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bCs/>
          <w:sz w:val="22"/>
        </w:rPr>
        <w:t xml:space="preserve"> On July 23, 2001, filed notice of abandonment for sales except for one remaining compressor unit to Mobil.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sz w:val="16"/>
        </w:rPr>
      </w:pPr>
      <w:r>
        <w:rPr>
          <w:sz w:val="22"/>
        </w:rPr>
        <w:tab/>
        <w:tab/>
        <w:tab/>
        <w:t>Order Approving Abandonment:</w:t>
        <w:tab/>
        <w:tab/>
        <w:t>07/02/96</w:t>
      </w:r>
      <w:r>
        <w:rPr/>
        <w:t xml:space="preserve"> </w:t>
      </w:r>
      <w:r>
        <w:rPr>
          <w:sz w:val="18"/>
        </w:rPr>
        <w:t>76 FERC ¶62,006 (1996)</w:t>
      </w:r>
    </w:p>
    <w:p>
      <w:pPr>
        <w:pStyle w:val="Normal"/>
        <w:tabs>
          <w:tab w:val="clear" w:pos="720"/>
          <w:tab w:val="center" w:pos="4920" w:leader="none"/>
        </w:tabs>
        <w:jc w:val="both"/>
        <w:rPr/>
      </w:pPr>
      <w:r>
        <w:rPr>
          <w:rFonts w:cs="Courier New" w:ascii="Courier New" w:hAnsi="Courier New"/>
          <w:sz w:val="22"/>
        </w:rPr>
        <w:tab/>
      </w: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CP94-751-005</w:t>
      </w:r>
      <w:r>
        <w:rPr>
          <w:b/>
          <w:sz w:val="22"/>
        </w:rPr>
        <w:tab/>
        <w:t xml:space="preserve">751 AMENDMENT (3RD) - </w:t>
      </w:r>
      <w:r>
        <w:rPr>
          <w:sz w:val="22"/>
        </w:rPr>
        <w:t>Amendment to application requests permission to abandon certain of the facilities in the original application by sale to Continental Natural Gas, Inc. and GPM Gas Corporation rather than remove the equipment as originally proposed.</w:t>
      </w:r>
      <w:r>
        <w:rPr>
          <w:bCs/>
          <w:sz w:val="22"/>
        </w:rPr>
        <w:t xml:space="preserve">  On July 23, 2001, filed notice of abandonment.  Meeting held with applicable NNG personnel on October 4 to review disposition of remaining 19 properties.</w:t>
      </w:r>
    </w:p>
    <w:p>
      <w:pPr>
        <w:pStyle w:val="Normal"/>
        <w:rPr>
          <w:sz w:val="22"/>
        </w:rPr>
      </w:pPr>
      <w:r>
        <w:rPr>
          <w:sz w:val="22"/>
        </w:rPr>
        <w:tab/>
        <w:tab/>
        <w:tab/>
        <w:t>Filed Amendment to Application:</w:t>
        <w:tab/>
        <w:tab/>
        <w:t>12/24/96</w:t>
      </w:r>
    </w:p>
    <w:p>
      <w:pPr>
        <w:pStyle w:val="Normal"/>
        <w:rPr/>
      </w:pPr>
      <w:r>
        <w:rPr>
          <w:sz w:val="22"/>
        </w:rPr>
        <w:tab/>
        <w:tab/>
        <w:tab/>
        <w:t>Order issued:</w:t>
        <w:tab/>
        <w:tab/>
        <w:tab/>
        <w:tab/>
        <w:tab/>
        <w:t>11/03/97</w:t>
      </w:r>
      <w:r>
        <w:rPr/>
        <w:t xml:space="preserve">  </w:t>
      </w:r>
      <w:r>
        <w:rPr>
          <w:sz w:val="18"/>
        </w:rPr>
        <w:t>81 FERC ¶ 61,151 (1997)</w:t>
      </w:r>
    </w:p>
    <w:p>
      <w:pPr>
        <w:pStyle w:val="Normal"/>
        <w:tabs>
          <w:tab w:val="clear" w:pos="720"/>
          <w:tab w:val="center" w:pos="4920" w:leader="none"/>
        </w:tabs>
        <w:jc w:val="both"/>
        <w:rPr/>
      </w:pPr>
      <w:r>
        <w:rPr>
          <w:rFonts w:cs="Courier New" w:ascii="Courier New" w:hAnsi="Courier New"/>
          <w:sz w:val="22"/>
        </w:rPr>
        <w:tab/>
      </w: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CP01-115</w:t>
        <w:tab/>
        <w:t xml:space="preserve">Red Rock Expansion – </w:t>
      </w:r>
      <w:r>
        <w:rPr>
          <w:bCs/>
          <w:sz w:val="22"/>
        </w:rPr>
        <w:t>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On April 11, 2001 filed photographs of station yards, additional agency correspondence including Cultural Resource Survey for Station 3, and an updated landowner listing.  Also provided clarification per FERC request that no aquifers would be affected by the project and the new and existing units would not operate simultaneously during the six-month transition period after the installation of the new units.  On April 20, 2001 filed Cultural Resource Survey for Station 4, “no effect” USFWL clearance for Stations 1 and 2, and revised noise analysis reports incorporating the power generators at Stations 3 and 4.   On April 23, 2001, filed clearance from the Navajo Nation Department of Archaeology for Station 3.  On May 9, 2001, filed SHPO approval contingent upon avoidance of site identified at Station 1 and correspondence from Navajo Nation Archaeology Department stating they are waiting for internal documentation before issuing a clearance letter.</w:t>
      </w:r>
      <w:r>
        <w:rPr>
          <w:b/>
          <w:sz w:val="22"/>
        </w:rPr>
        <w:t xml:space="preserve">  </w:t>
      </w:r>
      <w:r>
        <w:rPr>
          <w:bCs/>
          <w:sz w:val="22"/>
        </w:rPr>
        <w:t xml:space="preserve">Filed NNAD approval for Station 4 on May 14.  Firm transportation agreements representing 84,200 Dth will be filed with FERC on June 18, 2001.  Additional firm agreements for 22,500 Dth were filed on July 3, 2001.  This brings the total subscribed capacity to 106,700 Dth.  On July 9, 2001, per FERC request, filed schedule showing the daily deliveries to SoCal Needles from April 1, 2001 through June 30, 2001.  Filed Affirmative Statement pursuant to condition of the order on July 27, 2001.  On August 2, filed request for director’s letter to use an additional 5 acres of workspace at each of the station yards.   Received director’s letter on August 8, 2001.  Ongoing discussions with EPA and Arizona Department of Environmental Quality to expedite the air permits.  </w:t>
      </w:r>
      <w:r>
        <w:rPr>
          <w:b/>
          <w:sz w:val="22"/>
        </w:rPr>
        <w:t>On October 15, 2001 filed notice of commencement of tree clearing activities at Station 2 effective October 11,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22"/>
        </w:rPr>
      </w:pPr>
      <w:r>
        <w:rPr>
          <w:bCs/>
          <w:sz w:val="22"/>
        </w:rPr>
        <w:t xml:space="preserve">  </w:t>
      </w:r>
      <w:r>
        <w:rPr>
          <w:bCs/>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Certificate Issued:</w:t>
        <w:tab/>
        <w:t xml:space="preserve">07/16/2001  </w:t>
      </w:r>
      <w:r>
        <w:rPr>
          <w:bCs/>
          <w:sz w:val="18"/>
        </w:rPr>
        <w:t>96 FERC ¶ 61,078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Cs/>
          <w:sz w:val="22"/>
        </w:rPr>
        <w:tab/>
        <w:tab/>
        <w:tab/>
        <w:t>Certificate Accepted</w:t>
      </w:r>
      <w:r>
        <w:rPr>
          <w:b/>
          <w:sz w:val="22"/>
        </w:rPr>
        <w:t>:</w:t>
        <w:tab/>
      </w:r>
      <w:r>
        <w:rPr>
          <w:bCs/>
          <w:sz w:val="22"/>
        </w:rPr>
        <w:t>07/19/2001</w:t>
      </w:r>
    </w:p>
    <w:p>
      <w:pPr>
        <w:pStyle w:val="Heading5"/>
        <w:rPr>
          <w:b/>
          <w:bCs/>
          <w:u w:val="single"/>
        </w:rPr>
      </w:pPr>
      <w:r>
        <w:rPr>
          <w:bCs/>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jc w:val="center"/>
        <w:rPr>
          <w:b/>
          <w:bCs/>
          <w:u w:val="single"/>
        </w:rPr>
      </w:pPr>
      <w:r>
        <w:rPr>
          <w:b/>
          <w:bCs/>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bCs/>
          <w:sz w:val="22"/>
        </w:rPr>
        <w:t>CP95-519</w:t>
      </w:r>
      <w:r>
        <w:rPr>
          <w:sz w:val="22"/>
        </w:rPr>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rendered thereby.  EGCG filed a Petition for Declaratory Order on May 25, 1995 in Docket No. CP95</w:t>
        <w:noBreakHyphen/>
        <w:t>516.  By Order issued April 17, 1997 (April 17 Order), the Commission denied EGCG's request and dismissed Northern's abandonment application.  Northern, EGCG, and the Williams Company filed Requests for Rehearing of the April 17 Order.  Acquisition of the MUI 787 lateral closed effective December 8, 1998.  Letter notifying the Commission of the acquisition was filed on March 1, 1999.</w:t>
      </w:r>
      <w:r>
        <w:rPr>
          <w:bCs/>
          <w:sz w:val="22"/>
        </w:rPr>
        <w:t xml:space="preserve">  An Order Granting in Part and Denying in Part Rehearing was issued on May 31, 2001.  The order declares that the MAT 686 platform facilities and pipelines upstream are gathering and grants abandonment by sale to EGCG.  However, the Commission determined that the downstream pipeline is transmission and denied rehearing.  Therefore, Northern would retain the downstream facilities.  The order also requires Northern to split its rate between gathering and transmission.  On July 25, 2001, Northern filed a request for a 60-day extension of time regarding the split of its rate; extension of time granted to and including October 1, 2001.  Northern plans to file to amend the orders upon the completion of a deal to sell the MOPS System.  On July 3, 2001, The Producer Coalition filed a Motion to Intervene out-of-time and a request for rehearing.  Northern filed a response to the late intervention on July 17, 2001.</w:t>
      </w:r>
      <w:r>
        <w:rPr>
          <w:b/>
          <w:sz w:val="22"/>
        </w:rPr>
        <w:t xml:space="preserve">  </w:t>
      </w:r>
      <w:r>
        <w:rPr>
          <w:bCs/>
          <w:sz w:val="22"/>
        </w:rPr>
        <w:t>The Producer Coalition filed an Answer to Northern’s Answer on August 1, 2001.  On August 2, 2001, the Commission issued a tolling order on the Producer Coalition’s request for rehearing.  Rehearing is pending.</w:t>
      </w:r>
      <w:r>
        <w:rPr>
          <w:b/>
          <w:sz w:val="22"/>
        </w:rPr>
        <w:t xml:space="preserve">  </w:t>
      </w:r>
      <w:r>
        <w:rPr>
          <w:bCs/>
          <w:sz w:val="22"/>
        </w:rPr>
        <w:t>On September 25, 2001, Northern filed a request for a 60-day extension of time regarding the split of its rate; extension of time granted to and including December 3, 2001.  On October 1, 2001, the Commission issued an order denying the late interventions and dismissing request for rehearing filed by the Producer Coalition.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Order Dismissing Request:</w:t>
        <w:tab/>
        <w:tab/>
        <w:t>04/17/97</w:t>
      </w:r>
      <w:r>
        <w:rPr/>
        <w:t xml:space="preserve">  </w:t>
      </w:r>
      <w:r>
        <w:rPr>
          <w:sz w:val="18"/>
        </w:rPr>
        <w:t>72 FERC ¶ 61,039 (1997)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b/>
          <w:bCs/>
          <w:sz w:val="18"/>
        </w:rPr>
      </w:pPr>
      <w:r>
        <w:rPr>
          <w:sz w:val="22"/>
        </w:rPr>
        <w:tab/>
        <w:tab/>
        <w:tab/>
        <w:t>Order on Rehearing:</w:t>
        <w:tab/>
        <w:tab/>
        <w:t>05/31/01</w:t>
      </w:r>
      <w:r>
        <w:rPr/>
        <w:t xml:space="preserve">  </w:t>
      </w:r>
      <w:r>
        <w:rPr>
          <w:sz w:val="18"/>
        </w:rPr>
        <w:t>95 FERC ¶ 61,318 (2001)</w:t>
      </w:r>
    </w:p>
    <w:p>
      <w:pPr>
        <w:pStyle w:val="Heading5"/>
        <w:jc w:val="start"/>
        <w:rPr/>
      </w:pPr>
      <w:r>
        <w:rPr/>
        <w:tab/>
        <w:tab/>
        <w:tab/>
        <w:t>Extension of Time Issued:</w:t>
        <w:tab/>
        <w:tab/>
        <w:t>07/31/01</w:t>
      </w:r>
    </w:p>
    <w:p>
      <w:pPr>
        <w:pStyle w:val="Normal"/>
        <w:rPr/>
      </w:pPr>
      <w:r>
        <w:rPr>
          <w:b/>
          <w:bCs/>
        </w:rPr>
        <w:tab/>
        <w:tab/>
        <w:tab/>
      </w:r>
      <w:r>
        <w:rPr>
          <w:sz w:val="22"/>
        </w:rPr>
        <w:t>Tolling Order Issued:</w:t>
        <w:tab/>
        <w:tab/>
        <w:tab/>
        <w:tab/>
        <w:t>08/02/01</w:t>
      </w:r>
    </w:p>
    <w:p>
      <w:pPr>
        <w:pStyle w:val="Normal"/>
        <w:rPr>
          <w:sz w:val="22"/>
        </w:rPr>
      </w:pPr>
      <w:r>
        <w:rPr>
          <w:sz w:val="22"/>
        </w:rPr>
        <w:tab/>
        <w:tab/>
        <w:tab/>
        <w:t>Extension of Time Issued:</w:t>
        <w:tab/>
        <w:tab/>
        <w:tab/>
        <w:t>09/27/01</w:t>
      </w:r>
    </w:p>
    <w:p>
      <w:pPr>
        <w:pStyle w:val="Normal"/>
        <w:rPr/>
      </w:pPr>
      <w:r>
        <w:rPr>
          <w:sz w:val="22"/>
        </w:rPr>
        <w:t>CP95-519-002</w:t>
        <w:tab/>
        <w:tab/>
        <w:t>Order on Rehearing:</w:t>
        <w:tab/>
        <w:tab/>
        <w:tab/>
        <w:tab/>
        <w:t xml:space="preserve">10/01/01  </w:t>
      </w:r>
      <w:r>
        <w:rPr>
          <w:sz w:val="18"/>
        </w:rPr>
        <w:t>97 FERC ¶ 61,001 (2001)</w:t>
      </w:r>
    </w:p>
    <w:p>
      <w:pPr>
        <w:pStyle w:val="Heading5"/>
        <w:rPr/>
      </w:pPr>
      <w:r>
        <w:rPr/>
        <w:t>Regulatory Contact: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spacing w:val="-3"/>
          <w:sz w:val="22"/>
        </w:rPr>
        <w:t xml:space="preserve"> to amend the certificate of public convenience and necessity granted by order issued June 30, 1998 in Docket No. CP98-132-000.  The amended application requests authorization to construct and operate approximately 5.6 miles of pipe, with appurtenances, rather than construct the originally authorized facilities.  Order issued</w:t>
      </w:r>
      <w:r>
        <w:rPr>
          <w:sz w:val="22"/>
        </w:rPr>
        <w:t xml:space="preserve"> February 23, 2001, grants the amendment and approves presumption for rolled in rate treatment.  Certificate accepted on March 2, 2001.  The transportation contract was executed effective January 31, 2001.  The shipper name has changed to Axia Energy, LP.  On April 27, 2001, Northern filed a request for a Director’s Letter to commence construction; D.L. issued May 15, 2001.  Construction commenced July 16, 2001.  Notice of Bona fide start of construction filed on July 18, 2001 with a revised Gantt chart.  FERC environmental field inspection conducted on July 26</w:t>
      </w:r>
      <w:r>
        <w:rPr>
          <w:sz w:val="22"/>
          <w:vertAlign w:val="superscript"/>
        </w:rPr>
        <w:t>th</w:t>
      </w:r>
      <w:r>
        <w:rPr>
          <w:sz w:val="22"/>
        </w:rPr>
        <w:t>.  The inspection went well.  On August 2, 2001, Northern filed a request for a D.L. for approval of additional temporary workspace for the construction of the D-Line;</w:t>
      </w:r>
      <w:r>
        <w:rPr>
          <w:b/>
          <w:bCs/>
          <w:sz w:val="22"/>
        </w:rPr>
        <w:t xml:space="preserve"> </w:t>
      </w:r>
      <w:r>
        <w:rPr>
          <w:sz w:val="22"/>
        </w:rPr>
        <w:t>D.L. issued August 3</w:t>
      </w:r>
      <w:r>
        <w:rPr>
          <w:sz w:val="22"/>
          <w:vertAlign w:val="superscript"/>
        </w:rPr>
        <w:t>rd</w:t>
      </w:r>
      <w:r>
        <w:rPr>
          <w:sz w:val="22"/>
        </w:rPr>
        <w:t xml:space="preserve">.   On September 24, 2001 filed notice of in-service for the C-Line effective September 26, 2001.  </w:t>
      </w:r>
      <w:r>
        <w:rPr>
          <w:b/>
          <w:bCs/>
          <w:sz w:val="22"/>
        </w:rPr>
        <w:t>On October 23, 2001 filed notice of in-service for the D-Line effective October 19, 2001.</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bCs/>
          <w:sz w:val="22"/>
          <w:u w:val="single"/>
        </w:rPr>
        <w:t>REMAINING CONDITIONS:</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Final Costs within 6 months of completion</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Preliminary Determination issued:</w:t>
        <w:tab/>
        <w:tab/>
        <w:t>04/23/98</w:t>
      </w:r>
      <w:r>
        <w:rPr>
          <w:sz w:val="18"/>
        </w:rPr>
        <w:t xml:space="preserve">  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tab/>
        <w:tab/>
        <w:tab/>
      </w:r>
      <w:r>
        <w:rPr>
          <w:sz w:val="22"/>
        </w:rPr>
        <w:t>Certificate Issued:</w:t>
        <w:tab/>
        <w:tab/>
        <w:t>06/30/98</w:t>
      </w:r>
      <w:r>
        <w:rPr>
          <w:sz w:val="18"/>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16"/>
        </w:rPr>
      </w:pPr>
      <w:r>
        <w:rPr>
          <w:bCs/>
          <w:sz w:val="22"/>
        </w:rPr>
        <w:tab/>
        <w:tab/>
        <w:tab/>
        <w:t>Order Granting Amendment:</w:t>
        <w:tab/>
        <w:tab/>
        <w:t>02/23/01</w:t>
      </w:r>
      <w:r>
        <w:rPr>
          <w:bCs/>
          <w:sz w:val="18"/>
        </w:rPr>
        <w:t xml:space="preserve">  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 to the revised Historical Context and requested a director’s letter.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July 26, 2000, received director’s letter authorizing the July 13, 2000 request: (1) to abandon 1500 feet of Kansas A-Line in-place per landowner request to preserve shelter belt near his residence; and (2) to use fill dirt from offsite sources where the subsoil contains high clay content.  On August 18, 2000, filed notice that the 2.46 mile pipeline segment at the Iowa River was cut and capped as of August 16, 2000.  Any further activity on this segment is prohibited until clearance is received from the Iowa SHPO regarding their request for an additional 36 page historical context pamphlet.  On September 11, 2000, reported notice that the Kansas segment has been removed as of September 6, 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Draft copy of Historical Pamphlet submitted to Iowa SHPO on April 4, 2001</w:t>
      </w:r>
      <w:r>
        <w:rPr>
          <w:b/>
          <w:bCs/>
          <w:sz w:val="22"/>
        </w:rPr>
        <w:t xml:space="preserve">.  </w:t>
      </w:r>
      <w:r>
        <w:rPr>
          <w:sz w:val="22"/>
        </w:rPr>
        <w:t>SHPO has requested more detail in the Historical Pamphlet.  Third party consultant discussed internally and waiting on written comments from SHPO to formalize plan to complete document and receive clearance.  Second draft sent to SHPO on July 12, 2001.  On July 30, 2001, provided information to FERC regarding Northern’s plans to abandon the entire 2.46 miles of pipeline at the Iowa River in-place instead of by removal as originally proposed.  Iowa SHPO approved 2</w:t>
      </w:r>
      <w:r>
        <w:rPr>
          <w:sz w:val="22"/>
          <w:vertAlign w:val="superscript"/>
        </w:rPr>
        <w:t>nd</w:t>
      </w:r>
      <w:r>
        <w:rPr>
          <w:sz w:val="22"/>
        </w:rPr>
        <w:t xml:space="preserve"> draft of the pamphlet on July 27, 2001.   It now needs to be professionally edited.  Call in to FERC and SHPO to verify that the approval of the draft is sufficient to issue a director’s letter to begin construction activities.   On August 7, 2001, filed IA SHPO approval and requested a director’s letter to commence abandonment activities (in-place) at the Iowa River.  Supplemental filings made on August 10 and 31 and September 24 revising the work space and notification that all landowners had been notified and were in agreement with the abandonment in-place; director’s letter issued September 27,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10-day notification of abandonment in-place of pipeline</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  Received oral notice that the Nebraska State Historical Society has determined that the bridge is </w:t>
      </w:r>
      <w:r>
        <w:rPr>
          <w:color w:val="000000"/>
          <w:sz w:val="22"/>
        </w:rPr>
        <w:t xml:space="preserve">eligible for the National Historic Registry.  This </w:t>
      </w:r>
      <w:r>
        <w:rPr>
          <w:sz w:val="22"/>
        </w:rPr>
        <w:t>will require additional time and expense by Northern to prepare, distribute and archive the facility history if we continue to seek abandonment.  On February 22, 2001, several team members met with SHPO in Lincoln to discuss SHPO designation including Northern compliance.  SHPO indicated that they would like to have the entire process completed by August.  Received draft recordation report, incorporated changes and returned to historian.  Also executed on behalf of Northern and received back from FERC a fully executed Memorandum of Agreement detailing specifics that recordation of the bridge will include completing the mitigation of the bridge.  Copy of recordation filed and approved by Nebraska SHPO.  Filed request with FERC for Director’s Letter to begin construction.  On July 12, 2001, received Director’s Letter approving demolition of the bridge.  On October 3, 2001, filed for a Director’s letter seeking a variance to the approved construction procedures due to higher than anticipated river flow.</w:t>
      </w:r>
      <w:r>
        <w:rPr>
          <w:b/>
          <w:sz w:val="22"/>
        </w:rPr>
        <w:tab/>
        <w:t xml:space="preserve">  As of October 31, the pipeline has been removed, the bridge has been demolished and salvage removed from the site.  Awaiting final grouting of remaining pipe and will make requisite notification to FERC regarding abandonment.</w:t>
      </w:r>
      <w:r>
        <w:rPr>
          <w:sz w:val="22"/>
        </w:rPr>
        <w:t xml:space="preserve">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pPr>
      <w:r>
        <w:rPr>
          <w:sz w:val="22"/>
        </w:rPr>
        <w:tab/>
        <w:tab/>
        <w:t>Order Approving Abandonment:</w:t>
        <w:tab/>
        <w:t>04/11/01  (</w:t>
      </w:r>
      <w:r>
        <w:rPr>
          <w:sz w:val="16"/>
        </w:rPr>
        <w:t>95 FERC</w:t>
      </w:r>
      <w:r>
        <w:rPr>
          <w:sz w:val="22"/>
        </w:rPr>
        <w:t xml:space="preserve"> </w:t>
      </w:r>
      <w:r>
        <w:rPr>
          <w:sz w:val="16"/>
        </w:rPr>
        <w:t>¶ 62027 (2001</w:t>
      </w:r>
      <w:r>
        <w:rPr>
          <w:b/>
          <w:bCs/>
          <w:sz w:val="16"/>
        </w:rPr>
        <w:t>)</w:t>
      </w:r>
      <w:r>
        <w:rPr>
          <w:sz w:val="22"/>
        </w:rPr>
        <w:t>)</w:t>
      </w:r>
    </w:p>
    <w:p>
      <w:pPr>
        <w:pStyle w:val="Normal"/>
        <w:ind w:hanging="1440" w:start="1440" w:end="0"/>
        <w:jc w:val="center"/>
        <w:rPr>
          <w:sz w:val="22"/>
        </w:rPr>
      </w:pP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Cs/>
          <w:sz w:val="22"/>
        </w:rPr>
        <w:t>CP01-401</w:t>
      </w:r>
      <w:r>
        <w:rPr>
          <w:rFonts w:cs="Times New Roman" w:ascii="Times New Roman" w:hAnsi="Times New Roman"/>
          <w:b w:val="false"/>
          <w:sz w:val="22"/>
        </w:rPr>
        <w:tab/>
      </w:r>
      <w:r>
        <w:rPr>
          <w:rFonts w:cs="Times New Roman" w:ascii="Times New Roman" w:hAnsi="Times New Roman"/>
          <w:bCs/>
          <w:sz w:val="22"/>
        </w:rPr>
        <w:t xml:space="preserve">EAST LEG FACILITY SALE TO WISCONSIN GAS </w:t>
      </w:r>
      <w:r>
        <w:rPr>
          <w:rFonts w:cs="Times New Roman" w:ascii="Times New Roman" w:hAnsi="Times New Roman"/>
          <w:b w:val="false"/>
          <w:sz w:val="22"/>
        </w:rPr>
        <w:t xml:space="preserve">– Section 7(b) application requesting permission and approval to abandon, by sale to Wisconsin Gas, the last approximately 9 miles of the East Leg.  Concurrently, Northern is requesting abandonment of certain measurement facilities located along this pipe that are no longer required when Wisconsin Gas acquires the pipeline.  Guardian has filed to amend its certificate issued in Docket No. CP00-36.  The amendment requests that the Commission vacate that portion of its certificate related to the construction of the Eagle Lateral.  Although the Coalition’s protest was filed in both the Belleville and East Leg dockets they expressly stated they did not protest the sale.  </w:t>
      </w:r>
      <w:r>
        <w:rPr>
          <w:rFonts w:cs="Times New Roman" w:ascii="Times New Roman" w:hAnsi="Times New Roman"/>
          <w:bCs/>
          <w:sz w:val="22"/>
        </w:rPr>
        <w:t>A notice of abandonment is required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Order Approving Abandonment</w:t>
        <w:tab/>
        <w:t xml:space="preserve">10/01/01  </w:t>
      </w:r>
      <w:r>
        <w:rPr>
          <w:bCs/>
          <w:sz w:val="18"/>
        </w:rPr>
        <w:t>97 FERC ¶ 60,007 (2001)</w:t>
      </w:r>
    </w:p>
    <w:p>
      <w:pPr>
        <w:pStyle w:val="BodyTextIndent2"/>
        <w:tabs>
          <w:tab w:val="clear" w:pos="0"/>
          <w:tab w:val="left" w:pos="-720" w:leader="none"/>
          <w:tab w:val="left" w:pos="720" w:leader="none"/>
          <w:tab w:val="left" w:pos="1440" w:leader="none"/>
          <w:tab w:val="left" w:pos="2160" w:leader="none"/>
          <w:tab w:val="left" w:pos="5760" w:leader="none"/>
        </w:tabs>
        <w:jc w:val="center"/>
        <w:rPr>
          <w:rFonts w:ascii="Times New Roman" w:hAnsi="Times New Roman" w:cs="Times New Roman"/>
          <w:b w:val="false"/>
          <w:sz w:val="22"/>
        </w:rPr>
      </w:pPr>
      <w:r>
        <w:rPr>
          <w:rFonts w:cs="Times New Roman" w:ascii="Times New Roman" w:hAnsi="Times New Roman"/>
          <w:b w:val="false"/>
          <w:sz w:val="22"/>
        </w:rPr>
        <w:t>Regulatory Analyst:  Vig</w:t>
      </w:r>
    </w:p>
    <w:p>
      <w:pPr>
        <w:pStyle w:val="Normal"/>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bookmarkStart w:id="7" w:name="__RefHeading___Toc521138826"/>
      <w:r>
        <w:rPr/>
        <w:t>APPLICATIONS PENDING FERC APPROVAL</w:t>
      </w:r>
      <w:r>
        <w:fldChar w:fldCharType="begin"/>
      </w:r>
      <w:r>
        <w:rPr/>
        <w:instrText xml:space="preserve"> XE "APPLICATIONS PENDING FERC APPROVAL" </w:instrText>
      </w:r>
      <w:r>
        <w:rPr/>
        <w:fldChar w:fldCharType="separate"/>
      </w:r>
      <w:r>
        <w:rPr/>
      </w:r>
      <w:r>
        <w:rPr/>
        <w:fldChar w:fldCharType="end"/>
      </w:r>
      <w:bookmarkEnd w:id="7"/>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CP01-403</w:t>
        <w:tab/>
      </w:r>
      <w:r>
        <w:rPr>
          <w:rFonts w:cs="Times New Roman" w:ascii="Times New Roman" w:hAnsi="Times New Roman"/>
          <w:bCs/>
          <w:sz w:val="22"/>
        </w:rPr>
        <w:t>BELLEVILLE COMPRESSION –</w:t>
      </w:r>
      <w:r>
        <w:rPr>
          <w:rFonts w:cs="Times New Roman" w:ascii="Times New Roman" w:hAnsi="Times New Roman"/>
          <w:b w:val="false"/>
          <w:sz w:val="22"/>
        </w:rPr>
        <w:t xml:space="preserve"> Section 7(c) filing to install and operate an additional compressor unit and to rewheel an existing compressor located at the Belleville compressor station.  This compression is required to accommodate increased operating pressures on Wisconsin Gas’ downstream system.  Minnegasco, Mid-Am, and UtiliCorp. (Coalition) filed a joint protest to the application.  They complain the project should not enjoy rolled-in rate treatment.  Northern filed its response on August 27.  A FERC data request was issued on August 17, 2001 mainly addressing issues in the protest.  Northern’s response was filed on August 27, 2001.  </w:t>
      </w:r>
      <w:r>
        <w:rPr>
          <w:rFonts w:cs="Times New Roman" w:ascii="Times New Roman" w:hAnsi="Times New Roman"/>
          <w:bCs/>
          <w:sz w:val="22"/>
        </w:rPr>
        <w:t>On the agenda for the November 7 FERC meeting.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07/20/01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08/10/01</w:t>
      </w:r>
    </w:p>
    <w:p>
      <w:pPr>
        <w:pStyle w:val="BodyTextIndent2"/>
        <w:tabs>
          <w:tab w:val="clear" w:pos="0"/>
          <w:tab w:val="left" w:pos="-720" w:leader="none"/>
          <w:tab w:val="left" w:pos="720" w:leader="none"/>
          <w:tab w:val="left" w:pos="1440" w:leader="none"/>
          <w:tab w:val="left" w:pos="2160" w:leader="none"/>
          <w:tab w:val="left" w:pos="5760" w:leader="none"/>
        </w:tabs>
        <w:jc w:val="center"/>
        <w:rPr>
          <w:rFonts w:ascii="Times New Roman" w:hAnsi="Times New Roman" w:cs="Times New Roman"/>
          <w:b w:val="false"/>
          <w:sz w:val="22"/>
        </w:rPr>
      </w:pPr>
      <w:r>
        <w:rPr>
          <w:rFonts w:cs="Times New Roman" w:ascii="Times New Roman" w:hAnsi="Times New Roman"/>
          <w:b w:val="false"/>
          <w:sz w:val="22"/>
        </w:rPr>
        <w:t>Regulatory Analyst:  Vig</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CP01-432</w:t>
        <w:tab/>
      </w:r>
      <w:r>
        <w:rPr>
          <w:b/>
          <w:bCs/>
          <w:sz w:val="22"/>
        </w:rPr>
        <w:t>X-45 Rate Schedule</w:t>
      </w:r>
      <w:r>
        <w:rPr>
          <w:sz w:val="22"/>
        </w:rPr>
        <w:t xml:space="preserve"> </w:t>
      </w:r>
      <w:r>
        <w:rPr>
          <w:b/>
          <w:bCs/>
          <w:sz w:val="22"/>
        </w:rPr>
        <w:t xml:space="preserve">Abandonment - </w:t>
      </w:r>
      <w:r>
        <w:rPr>
          <w:sz w:val="22"/>
        </w:rPr>
        <w:t xml:space="preserve">Section 7(b) application for permission and approval to abandon service to Westar, formerly Pioneer Natural Gas Company under Rate Schedule X-45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08/23/01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10/22/01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11/12/01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CP01-441</w:t>
        <w:tab/>
      </w:r>
      <w:r>
        <w:rPr>
          <w:b/>
          <w:bCs/>
          <w:sz w:val="22"/>
        </w:rPr>
        <w:t>X-107 Rate Schedule</w:t>
      </w:r>
      <w:r>
        <w:rPr>
          <w:sz w:val="22"/>
        </w:rPr>
        <w:t xml:space="preserve"> </w:t>
      </w:r>
      <w:r>
        <w:rPr>
          <w:b/>
          <w:bCs/>
          <w:sz w:val="22"/>
        </w:rPr>
        <w:t xml:space="preserve">Abandonment - </w:t>
      </w:r>
      <w:r>
        <w:rPr>
          <w:sz w:val="22"/>
        </w:rPr>
        <w:t xml:space="preserve">Section 7(b) joint application for permission and approval to abandon service to Southern Natural Gas Company under Rate Schedule X-107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09/6/01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CP01-446</w:t>
        <w:tab/>
      </w:r>
      <w:r>
        <w:rPr>
          <w:b/>
          <w:bCs/>
          <w:sz w:val="22"/>
        </w:rPr>
        <w:t>X-33 Rate Schedule</w:t>
      </w:r>
      <w:r>
        <w:rPr>
          <w:sz w:val="22"/>
        </w:rPr>
        <w:t xml:space="preserve"> </w:t>
      </w:r>
      <w:r>
        <w:rPr>
          <w:b/>
          <w:bCs/>
          <w:sz w:val="22"/>
        </w:rPr>
        <w:t xml:space="preserve">Abandonment - </w:t>
      </w:r>
      <w:r>
        <w:rPr>
          <w:sz w:val="22"/>
        </w:rPr>
        <w:t xml:space="preserve">Section 7(b) joint application for permission and approval to abandon service to ANR and Great Lakes Gas Transmission Company under Rate Schedule X-33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09/24/01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10/30/01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11/20/01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r>
      <w:bookmarkStart w:id="8" w:name="__RefHeading___Toc521138827"/>
      <w:r>
        <w:rPr/>
        <w:t>PROJECTS TO BE FILED</w:t>
      </w:r>
      <w:r>
        <w:fldChar w:fldCharType="begin"/>
      </w:r>
      <w:r>
        <w:rPr/>
        <w:instrText xml:space="preserve"> XE "PROJECTS TO BE FILED" </w:instrText>
      </w:r>
      <w:r>
        <w:rPr/>
        <w:fldChar w:fldCharType="separate"/>
      </w:r>
      <w:r>
        <w:rPr/>
      </w:r>
      <w:r>
        <w:rPr/>
        <w:fldChar w:fldCharType="end"/>
      </w:r>
      <w:bookmarkEnd w:id="8"/>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Cs/>
          <w:sz w:val="22"/>
        </w:rPr>
        <w:t xml:space="preserve">DONNA </w:t>
      </w:r>
      <w:r>
        <w:rPr>
          <w:b/>
          <w:sz w:val="22"/>
        </w:rPr>
        <w:tab/>
        <w:t xml:space="preserve">PROJECT MAX – </w:t>
      </w:r>
      <w:r>
        <w:rPr>
          <w:bCs/>
          <w:sz w:val="22"/>
        </w:rPr>
        <w:t xml:space="preserve">Section 7(c) filing to install and operate facilities to accommodate open season requests for a market area expansion.  Marketing and Facility Planning are working on markets and final facility design.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bCs/>
          <w:sz w:val="22"/>
        </w:rPr>
      </w:pPr>
      <w:r>
        <w:rPr>
          <w:b/>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BodyTextIndent2"/>
        <w:rPr/>
      </w:pPr>
      <w:r>
        <w:rPr>
          <w:rFonts w:cs="Times New Roman" w:ascii="Times New Roman" w:hAnsi="Times New Roman"/>
          <w:b w:val="false"/>
          <w:sz w:val="22"/>
        </w:rPr>
        <w:t>BRET</w:t>
        <w:tab/>
        <w:tab/>
      </w:r>
      <w:r>
        <w:rPr>
          <w:rFonts w:cs="Times New Roman" w:ascii="Times New Roman" w:hAnsi="Times New Roman"/>
          <w:bCs/>
          <w:sz w:val="22"/>
        </w:rPr>
        <w:t xml:space="preserve">CUNNINGHAM WELLS – </w:t>
      </w:r>
      <w:r>
        <w:rPr>
          <w:rFonts w:cs="Times New Roman" w:ascii="Times New Roman" w:hAnsi="Times New Roman"/>
          <w:b w:val="false"/>
          <w:sz w:val="22"/>
        </w:rPr>
        <w:t xml:space="preserve">Section 7(c) filing to install and operate two (2) new horizontal wells and pipeline to connect the wells to existing gathering system in order to improve overall storage operations.  An endangered fish species was found during the T&amp;E survey for an unnamed tributary that will be crossed during construction.  Therefore, a special permit from the Department of Wildlife and Parks is required to open cut the crossing.  The permit to install the open cut (dry) crossing of the unnamed tributary of the South Fork Ninnescah River was issued on June 18, 2001.  The crossing must be installed within one year of the date of the permit or a reevaluation of the permit is required. </w:t>
      </w:r>
      <w:r>
        <w:rPr>
          <w:rFonts w:cs="Times New Roman" w:ascii="Times New Roman" w:hAnsi="Times New Roman"/>
          <w:bCs/>
          <w:sz w:val="22"/>
        </w:rPr>
        <w:t xml:space="preserve"> </w:t>
      </w:r>
      <w:r>
        <w:rPr>
          <w:rFonts w:cs="Times New Roman" w:ascii="Times New Roman" w:hAnsi="Times New Roman"/>
          <w:b w:val="false"/>
          <w:sz w:val="22"/>
        </w:rPr>
        <w:t xml:space="preserve">Waiting for management approval to file the application. </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branchline.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BRET</w:t>
      </w:r>
      <w:r>
        <w:rPr>
          <w:rFonts w:cs="Times New Roman" w:ascii="Times New Roman" w:hAnsi="Times New Roman"/>
          <w:sz w:val="22"/>
        </w:rPr>
        <w:tab/>
        <w:tab/>
        <w:t>MOPS ABANDONMENT AMENDMENT –</w:t>
      </w:r>
      <w:r>
        <w:rPr>
          <w:rFonts w:cs="Times New Roman" w:ascii="Times New Roman" w:hAnsi="Times New Roman"/>
          <w:b w:val="false"/>
          <w:sz w:val="22"/>
        </w:rPr>
        <w:t xml:space="preserve"> Northern will file to amend the orders granting and denying abandonment of the MOPS system upon completion of the sale of facilities the a third party.  Amended Application is drafted waiting for details on the final purchase and sale agreement to complete and distribute the draft for comment.</w:t>
      </w:r>
      <w:r>
        <w:rPr>
          <w:rFonts w:cs="Times New Roman" w:ascii="Times New Roman" w:hAnsi="Times New Roman"/>
          <w:bCs/>
          <w:sz w:val="22"/>
        </w:rPr>
        <w:t xml:space="preserve"> </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BRET</w:t>
        <w:tab/>
        <w:tab/>
      </w:r>
      <w:r>
        <w:rPr>
          <w:b/>
          <w:bCs/>
          <w:sz w:val="22"/>
        </w:rPr>
        <w:t xml:space="preserve">VOLUME 2 AGREEMENTS – </w:t>
      </w:r>
      <w:r>
        <w:rPr>
          <w:sz w:val="22"/>
        </w:rPr>
        <w:t>Section 7(b) filings to abandon service to various parties under Rate Schedules contained in Northern's FERC Gas Tariff, Original Volume No. 2.  Seven (7) individually certificated Rate Schedules remain to be filed.</w:t>
      </w:r>
    </w:p>
    <w:p>
      <w:pPr>
        <w:pStyle w:val="Normal"/>
        <w:ind w:hanging="1440" w:start="1440" w:end="0"/>
        <w:rPr>
          <w:b/>
          <w:sz w:val="22"/>
        </w:rPr>
      </w:pPr>
      <w:r>
        <w:rPr>
          <w:b/>
          <w:sz w:val="22"/>
        </w:rPr>
      </w:r>
    </w:p>
    <w:p>
      <w:pPr>
        <w:pStyle w:val="Normal"/>
        <w:ind w:hanging="1440" w:start="1440" w:end="0"/>
        <w:rPr/>
      </w:pPr>
      <w:r>
        <w:rPr>
          <w:sz w:val="22"/>
        </w:rPr>
        <w:t>BRET</w:t>
        <w:tab/>
      </w:r>
      <w:r>
        <w:rPr>
          <w:b/>
          <w:bCs/>
          <w:sz w:val="22"/>
        </w:rPr>
        <w:t>HUTCHINSON COUNTY #2</w:t>
      </w:r>
      <w:r>
        <w:rPr>
          <w:sz w:val="22"/>
        </w:rPr>
        <w:t xml:space="preserve"> – Section 7(b) filing to abandon in place the compressor station at Hutchinson County #2.  Marketing and Facility Planning are working on gathering required information for the application.</w:t>
      </w:r>
    </w:p>
    <w:p>
      <w:pPr>
        <w:pStyle w:val="Normal"/>
        <w:ind w:hanging="1440" w:start="1440" w:end="0"/>
        <w:rPr>
          <w:sz w:val="22"/>
        </w:rPr>
      </w:pPr>
      <w:r>
        <w:rPr>
          <w:sz w:val="22"/>
        </w:rPr>
      </w:r>
    </w:p>
    <w:p>
      <w:pPr>
        <w:pStyle w:val="Normal"/>
        <w:ind w:hanging="1440" w:start="1440" w:end="0"/>
        <w:rPr/>
      </w:pPr>
      <w:r>
        <w:rPr>
          <w:sz w:val="22"/>
        </w:rPr>
        <w:t>DONNA</w:t>
      </w:r>
      <w:r>
        <w:rPr>
          <w:b/>
          <w:bCs/>
          <w:sz w:val="22"/>
        </w:rPr>
        <w:tab/>
        <w:t xml:space="preserve">JAL LATERAL SALE – </w:t>
      </w:r>
      <w:r>
        <w:rPr>
          <w:sz w:val="22"/>
        </w:rPr>
        <w:t>Filing to abandon by sale to Sid Richardson the 16” Jal lateral and abandon the Jal Compressor Station in place.  Facility details and draft PSA are being reviewed.</w:t>
      </w:r>
    </w:p>
    <w:p>
      <w:pPr>
        <w:pStyle w:val="Normal"/>
        <w:ind w:hanging="1440" w:start="1440" w:end="0"/>
        <w:rPr>
          <w:sz w:val="22"/>
        </w:rPr>
      </w:pPr>
      <w:r>
        <w:rPr>
          <w:sz w:val="22"/>
        </w:rPr>
      </w:r>
    </w:p>
    <w:p>
      <w:pPr>
        <w:pStyle w:val="Normal"/>
        <w:ind w:hanging="1440" w:start="1440" w:end="0"/>
        <w:rPr/>
      </w:pPr>
      <w:r>
        <w:rPr>
          <w:sz w:val="22"/>
        </w:rPr>
        <w:t>VIG</w:t>
        <w:tab/>
      </w:r>
      <w:r>
        <w:rPr>
          <w:b/>
          <w:bCs/>
          <w:sz w:val="22"/>
        </w:rPr>
        <w:t>BEAVER ASSETS SALE</w:t>
      </w:r>
      <w:r>
        <w:rPr>
          <w:sz w:val="22"/>
        </w:rPr>
        <w:t xml:space="preserve">  - Section 7(b) filing to abandon certain properties – list still being negotiated – by sale.</w:t>
      </w:r>
    </w:p>
    <w:p>
      <w:pPr>
        <w:pStyle w:val="Normal"/>
        <w:ind w:hanging="1440" w:start="1440" w:end="0"/>
        <w:rPr>
          <w:sz w:val="22"/>
        </w:rPr>
      </w:pPr>
      <w:r>
        <w:rPr>
          <w:sz w:val="22"/>
        </w:rPr>
      </w:r>
    </w:p>
    <w:p>
      <w:pPr>
        <w:pStyle w:val="Normal"/>
        <w:ind w:hanging="1440" w:start="1440" w:end="0"/>
        <w:rPr/>
      </w:pPr>
      <w:r>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9207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4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SERVICES</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2"/>
      </w:rPr>
    </w:pPr>
    <w:r>
      <w:rPr>
        <w:sz w:val="12"/>
      </w:rPr>
      <w:t>Novemberr 1,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2001-11-01T13:34:00Z</dcterms:created>
  <dc:creator>Enron</dc:creator>
  <dc:description/>
  <dc:language>en-CA</dc:language>
  <cp:lastModifiedBy>Donna Martens</cp:lastModifiedBy>
  <cp:lastPrinted>2001-11-01T10:02:00Z</cp:lastPrinted>
  <dcterms:modified xsi:type="dcterms:W3CDTF">2001-11-01T13:34:00Z</dcterms:modified>
  <cp:revision>2</cp:revision>
  <dc:subject/>
  <dc:title>E T &amp; S</dc:title>
</cp:coreProperties>
</file>