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bCs/>
          <w:sz w:val="24"/>
          <w:szCs w:val="24"/>
        </w:rPr>
        <w:t>BEFORE THE PUBLIC UTILITIES COMMISSION</w:t>
      </w:r>
    </w:p>
    <w:p>
      <w:pPr>
        <w:pStyle w:val="Normal"/>
        <w:jc w:val="center"/>
        <w:rPr>
          <w:b/>
          <w:bCs/>
          <w:sz w:val="24"/>
          <w:szCs w:val="24"/>
        </w:rPr>
      </w:pPr>
      <w:r>
        <w:rPr>
          <w:b/>
          <w:bCs/>
          <w:sz w:val="24"/>
          <w:szCs w:val="24"/>
        </w:rPr>
        <w:t>OF THE STATE OF CALIFORNIA</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tbl>
      <w:tblPr>
        <w:tblW w:w="9180" w:type="dxa"/>
        <w:jc w:val="start"/>
        <w:tblInd w:w="108" w:type="dxa"/>
        <w:tblLayout w:type="fixed"/>
        <w:tblCellMar>
          <w:top w:w="0" w:type="dxa"/>
          <w:start w:w="108" w:type="dxa"/>
          <w:bottom w:w="0" w:type="dxa"/>
          <w:end w:w="108" w:type="dxa"/>
        </w:tblCellMar>
      </w:tblPr>
      <w:tblGrid>
        <w:gridCol w:w="5580"/>
        <w:gridCol w:w="277"/>
        <w:gridCol w:w="3323"/>
      </w:tblGrid>
      <w:tr>
        <w:trPr/>
        <w:tc>
          <w:tcPr>
            <w:tcW w:w="5580" w:type="dxa"/>
            <w:tcBorders>
              <w:bottom w:val="single" w:sz="6" w:space="0" w:color="000000"/>
              <w:end w:val="single" w:sz="6" w:space="0" w:color="000000"/>
            </w:tcBorders>
          </w:tcPr>
          <w:p>
            <w:pPr>
              <w:pStyle w:val="Normal"/>
              <w:tabs>
                <w:tab w:val="clear" w:pos="720"/>
                <w:tab w:val="left" w:pos="1440" w:leader="none"/>
              </w:tabs>
              <w:rPr>
                <w:sz w:val="24"/>
                <w:szCs w:val="24"/>
              </w:rPr>
            </w:pPr>
            <w:r>
              <w:rPr>
                <w:sz w:val="24"/>
                <w:szCs w:val="24"/>
              </w:rPr>
              <w:t xml:space="preserve">Application of Pacific Gas and Electric Company to Market Value Hydroelectric Generating Plants and Related Assets Pursuant to Public Utilities Code </w:t>
            </w:r>
          </w:p>
          <w:p>
            <w:pPr>
              <w:pStyle w:val="Normal"/>
              <w:tabs>
                <w:tab w:val="clear" w:pos="720"/>
                <w:tab w:val="left" w:pos="1440" w:leader="none"/>
              </w:tabs>
              <w:rPr>
                <w:sz w:val="24"/>
                <w:szCs w:val="24"/>
              </w:rPr>
            </w:pPr>
            <w:r>
              <w:rPr>
                <w:sz w:val="24"/>
                <w:szCs w:val="24"/>
              </w:rPr>
              <w:t>Sections 367(b) and 851</w:t>
            </w:r>
          </w:p>
          <w:p>
            <w:pPr>
              <w:pStyle w:val="Normal"/>
              <w:tabs>
                <w:tab w:val="clear" w:pos="720"/>
                <w:tab w:val="left" w:pos="1440" w:leader="none"/>
              </w:tabs>
              <w:rPr>
                <w:sz w:val="24"/>
                <w:szCs w:val="24"/>
              </w:rPr>
            </w:pPr>
            <w:r>
              <w:rPr>
                <w:sz w:val="24"/>
                <w:szCs w:val="24"/>
              </w:rPr>
            </w:r>
          </w:p>
          <w:p>
            <w:pPr>
              <w:pStyle w:val="Normal"/>
              <w:rPr>
                <w:sz w:val="24"/>
                <w:szCs w:val="24"/>
              </w:rPr>
            </w:pPr>
            <w:r>
              <w:rPr>
                <w:sz w:val="24"/>
                <w:szCs w:val="24"/>
              </w:rPr>
              <w:t xml:space="preserve">                                                              </w:t>
            </w:r>
            <w:r>
              <w:rPr>
                <w:sz w:val="24"/>
                <w:szCs w:val="24"/>
              </w:rPr>
              <w:t xml:space="preserve">(U 39 E)                    </w:t>
            </w:r>
          </w:p>
        </w:tc>
        <w:tc>
          <w:tcPr>
            <w:tcW w:w="277" w:type="dxa"/>
            <w:tcBorders/>
          </w:tcPr>
          <w:p>
            <w:pPr>
              <w:pStyle w:val="Normal"/>
              <w:snapToGrid w:val="false"/>
              <w:rPr>
                <w:sz w:val="24"/>
                <w:szCs w:val="24"/>
              </w:rPr>
            </w:pPr>
            <w:r>
              <w:rPr>
                <w:sz w:val="24"/>
                <w:szCs w:val="24"/>
              </w:rPr>
            </w:r>
          </w:p>
        </w:tc>
        <w:tc>
          <w:tcPr>
            <w:tcW w:w="3323" w:type="dxa"/>
            <w:tcBorders/>
          </w:tcPr>
          <w:p>
            <w:pPr>
              <w:pStyle w:val="Normal"/>
              <w:snapToGrid w:val="false"/>
              <w:rPr>
                <w:sz w:val="24"/>
                <w:szCs w:val="24"/>
              </w:rPr>
            </w:pPr>
            <w:r>
              <w:rPr>
                <w:sz w:val="24"/>
                <w:szCs w:val="24"/>
              </w:rPr>
            </w:r>
          </w:p>
          <w:p>
            <w:pPr>
              <w:pStyle w:val="Normal"/>
              <w:rPr>
                <w:sz w:val="24"/>
                <w:szCs w:val="24"/>
              </w:rPr>
            </w:pPr>
            <w:r>
              <w:rPr>
                <w:sz w:val="24"/>
                <w:szCs w:val="24"/>
              </w:rPr>
              <w:t>Application No. 99-09-053</w:t>
            </w:r>
          </w:p>
          <w:p>
            <w:pPr>
              <w:pStyle w:val="Normal"/>
              <w:rPr>
                <w:sz w:val="24"/>
                <w:szCs w:val="24"/>
              </w:rPr>
            </w:pPr>
            <w:r>
              <w:rPr>
                <w:sz w:val="24"/>
                <w:szCs w:val="24"/>
              </w:rPr>
              <w:t>(Filed September 30, 1999)</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NOTICE OF WITHDRAWAL FROM SETTLEMENT</w:t>
      </w:r>
    </w:p>
    <w:p>
      <w:pPr>
        <w:pStyle w:val="Normal"/>
        <w:jc w:val="center"/>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sz w:val="24"/>
          <w:szCs w:val="24"/>
        </w:rPr>
      </w:pPr>
      <w:r>
        <w:rPr>
          <w:sz w:val="24"/>
          <w:szCs w:val="24"/>
        </w:rPr>
        <w:tab/>
        <w:t xml:space="preserve">Pacific Gas and Electric Company hereby notifies the California Public Utilities Commission (“Commission”) that it has withdrawn from the “Settlement Agreement For Valuation and Disposition of Hydroelectric Assets” dated August 8, 2000.  The proposed settlement was filed with the Commission on August 9, 2000.  As Rule 51(c) of the Commission’s Rules of Practice and Procedure specifies that the applicant to a proceeding must be a party to a settlement, the consequence of Pacific Gas and Electric Company’s withdrawal is to invalidate the settlement. </w:t>
      </w:r>
      <w:r>
        <w:br w:type="page"/>
      </w:r>
    </w:p>
    <w:p>
      <w:pPr>
        <w:pStyle w:val="Normal"/>
        <w:spacing w:lineRule="auto" w:line="480"/>
        <w:jc w:val="center"/>
        <w:rPr>
          <w:sz w:val="24"/>
          <w:szCs w:val="24"/>
        </w:rPr>
      </w:pPr>
      <w:r>
        <w:rPr>
          <w:sz w:val="24"/>
          <w:szCs w:val="24"/>
        </w:rPr>
        <w:t>Respectfully submitted,</w:t>
      </w:r>
    </w:p>
    <w:p>
      <w:pPr>
        <w:pStyle w:val="BodyText2"/>
        <w:spacing w:before="240" w:after="0"/>
        <w:rPr>
          <w:sz w:val="24"/>
          <w:szCs w:val="24"/>
        </w:rPr>
      </w:pPr>
      <w:r>
        <w:rPr>
          <w:sz w:val="24"/>
          <w:szCs w:val="24"/>
        </w:rPr>
      </w:r>
    </w:p>
    <w:p>
      <w:pPr>
        <w:pStyle w:val="Normal"/>
        <w:rPr>
          <w:sz w:val="24"/>
          <w:szCs w:val="24"/>
        </w:rPr>
      </w:pPr>
      <w:r>
        <w:rPr>
          <w:sz w:val="24"/>
          <w:szCs w:val="24"/>
        </w:rPr>
        <w:t>CHRISTOPHER J. WARNER</w:t>
        <w:tab/>
        <w:tab/>
        <w:tab/>
        <w:t>JOSEPH M. MALKIN</w:t>
      </w:r>
    </w:p>
    <w:p>
      <w:pPr>
        <w:pStyle w:val="Normal"/>
        <w:keepNext w:val="true"/>
        <w:keepLines/>
        <w:ind w:hanging="3330" w:start="3330" w:end="0"/>
        <w:rPr>
          <w:sz w:val="24"/>
          <w:szCs w:val="24"/>
        </w:rPr>
      </w:pPr>
      <w:r>
        <w:rPr>
          <w:sz w:val="24"/>
          <w:szCs w:val="24"/>
        </w:rPr>
        <w:t>WILLIAM V. MANHEIM</w:t>
        <w:tab/>
        <w:tab/>
        <w:tab/>
        <w:tab/>
        <w:t>ERIC F. LICHTBLAU</w:t>
      </w:r>
    </w:p>
    <w:p>
      <w:pPr>
        <w:pStyle w:val="Normal"/>
        <w:keepNext w:val="true"/>
        <w:keepLines/>
        <w:ind w:hanging="3330" w:start="3330" w:end="0"/>
        <w:rPr>
          <w:sz w:val="24"/>
          <w:szCs w:val="24"/>
        </w:rPr>
      </w:pPr>
      <w:r>
        <w:rPr>
          <w:sz w:val="24"/>
          <w:szCs w:val="24"/>
        </w:rPr>
        <w:t>Law Department</w:t>
        <w:tab/>
        <w:tab/>
        <w:tab/>
        <w:tab/>
        <w:t>Orrick, Herrington &amp; Sutcilffe, LLP</w:t>
      </w:r>
    </w:p>
    <w:p>
      <w:pPr>
        <w:pStyle w:val="Normal"/>
        <w:keepNext w:val="true"/>
        <w:keepLines/>
        <w:ind w:hanging="3330" w:start="3330" w:end="0"/>
        <w:rPr>
          <w:sz w:val="24"/>
          <w:szCs w:val="24"/>
        </w:rPr>
      </w:pPr>
      <w:r>
        <w:rPr>
          <w:sz w:val="24"/>
          <w:szCs w:val="24"/>
        </w:rPr>
        <w:t>Pacific Gas and Electric Company</w:t>
        <w:tab/>
        <w:tab/>
        <w:tab/>
        <w:tab/>
        <w:t>Old Federal Reserve Bank Building</w:t>
      </w:r>
    </w:p>
    <w:p>
      <w:pPr>
        <w:pStyle w:val="Normal"/>
        <w:keepNext w:val="true"/>
        <w:keepLines/>
        <w:ind w:hanging="3330" w:start="3330" w:end="0"/>
        <w:rPr>
          <w:sz w:val="24"/>
          <w:szCs w:val="24"/>
        </w:rPr>
      </w:pPr>
      <w:r>
        <w:rPr>
          <w:sz w:val="24"/>
          <w:szCs w:val="24"/>
        </w:rPr>
        <w:t>Post Office Box 7442</w:t>
        <w:tab/>
        <w:tab/>
        <w:tab/>
        <w:tab/>
        <w:t>400 Sansome Street</w:t>
      </w:r>
    </w:p>
    <w:p>
      <w:pPr>
        <w:pStyle w:val="Normal"/>
        <w:keepNext w:val="true"/>
        <w:keepLines/>
        <w:ind w:hanging="3330" w:start="3330" w:end="0"/>
        <w:rPr>
          <w:sz w:val="24"/>
          <w:szCs w:val="24"/>
        </w:rPr>
      </w:pPr>
      <w:r>
        <w:rPr>
          <w:sz w:val="24"/>
          <w:szCs w:val="24"/>
        </w:rPr>
        <w:t>San Francisco, California 94120</w:t>
        <w:tab/>
        <w:tab/>
        <w:tab/>
        <w:tab/>
        <w:t>San Francisco, California 94111</w:t>
      </w:r>
    </w:p>
    <w:p>
      <w:pPr>
        <w:pStyle w:val="Normal"/>
        <w:keepNext w:val="true"/>
        <w:keepLines/>
        <w:ind w:hanging="3330" w:start="3330" w:end="0"/>
        <w:rPr>
          <w:sz w:val="24"/>
          <w:szCs w:val="24"/>
        </w:rPr>
      </w:pPr>
      <w:r>
        <w:rPr>
          <w:sz w:val="24"/>
          <w:szCs w:val="24"/>
        </w:rPr>
        <w:t>Telephone: (415) 973-6628</w:t>
        <w:tab/>
        <w:tab/>
        <w:tab/>
        <w:tab/>
        <w:t>Telephone: (415) 773-5505</w:t>
      </w:r>
    </w:p>
    <w:p>
      <w:pPr>
        <w:pStyle w:val="Normal"/>
        <w:keepNext w:val="true"/>
        <w:keepLines/>
        <w:ind w:hanging="3330" w:start="3330" w:end="0"/>
        <w:rPr>
          <w:sz w:val="24"/>
          <w:szCs w:val="24"/>
        </w:rPr>
      </w:pPr>
      <w:r>
        <w:rPr>
          <w:sz w:val="24"/>
          <w:szCs w:val="24"/>
        </w:rPr>
        <w:t>Facsimile:  (415) 973-9271</w:t>
        <w:tab/>
        <w:tab/>
        <w:tab/>
        <w:tab/>
        <w:t>Facsimile:  (415) 773-5759</w:t>
      </w:r>
    </w:p>
    <w:p>
      <w:pPr>
        <w:pStyle w:val="Normal"/>
        <w:keepNext w:val="true"/>
        <w:keepLines/>
        <w:ind w:hanging="3330" w:start="3330" w:end="0"/>
        <w:rPr/>
      </w:pPr>
      <w:r>
        <w:rPr>
          <w:sz w:val="24"/>
          <w:szCs w:val="24"/>
        </w:rPr>
        <w:t xml:space="preserve">E-mail:  </w:t>
      </w:r>
      <w:r>
        <w:rPr>
          <w:color w:val="0000FF"/>
          <w:sz w:val="24"/>
          <w:szCs w:val="24"/>
          <w:u w:val="single"/>
        </w:rPr>
        <w:t>wvm3@pge.com</w:t>
      </w:r>
      <w:r>
        <w:rPr>
          <w:sz w:val="24"/>
          <w:szCs w:val="24"/>
        </w:rPr>
        <w:tab/>
        <w:tab/>
        <w:tab/>
        <w:tab/>
        <w:t xml:space="preserve">E-mail:  </w:t>
      </w:r>
      <w:r>
        <w:rPr>
          <w:color w:val="0000FF"/>
          <w:sz w:val="24"/>
          <w:szCs w:val="24"/>
          <w:u w:val="single"/>
        </w:rPr>
        <w:t>jmalkin@orrick.com</w:t>
        <w:tab/>
      </w:r>
      <w:r>
        <w:rPr>
          <w:sz w:val="24"/>
          <w:szCs w:val="24"/>
        </w:rPr>
        <w:tab/>
        <w:tab/>
        <w:tab/>
        <w:tab/>
        <w:tab/>
        <w:tab/>
      </w:r>
    </w:p>
    <w:p>
      <w:pPr>
        <w:pStyle w:val="Normal"/>
        <w:keepNext w:val="true"/>
        <w:keepLines/>
        <w:ind w:hanging="3330" w:start="3330" w:end="0"/>
        <w:rPr>
          <w:sz w:val="24"/>
          <w:szCs w:val="24"/>
        </w:rPr>
      </w:pPr>
      <w:r>
        <w:rPr>
          <w:sz w:val="24"/>
          <w:szCs w:val="24"/>
        </w:rPr>
      </w:r>
    </w:p>
    <w:p>
      <w:pPr>
        <w:pStyle w:val="Normal"/>
        <w:keepNext w:val="true"/>
        <w:keepLines/>
        <w:ind w:hanging="3330" w:start="3330" w:end="0"/>
        <w:rPr>
          <w:sz w:val="24"/>
          <w:szCs w:val="24"/>
        </w:rPr>
      </w:pPr>
      <w:r>
        <w:rPr>
          <w:sz w:val="24"/>
          <w:szCs w:val="24"/>
        </w:rPr>
      </w:r>
    </w:p>
    <w:p>
      <w:pPr>
        <w:pStyle w:val="Normal"/>
        <w:keepNext w:val="true"/>
        <w:keepLines/>
        <w:tabs>
          <w:tab w:val="clear" w:pos="720"/>
          <w:tab w:val="left" w:pos="7920" w:leader="none"/>
        </w:tabs>
        <w:ind w:hanging="3330" w:start="3326" w:end="0"/>
        <w:rPr>
          <w:sz w:val="24"/>
          <w:szCs w:val="24"/>
          <w:u w:val="single"/>
        </w:rPr>
      </w:pPr>
      <w:r>
        <w:rPr>
          <w:sz w:val="24"/>
          <w:szCs w:val="24"/>
        </w:rPr>
        <w:t>By____________________________                  By ____________________________</w:t>
      </w:r>
    </w:p>
    <w:p>
      <w:pPr>
        <w:pStyle w:val="Normal"/>
        <w:keepNext w:val="true"/>
        <w:keepLines/>
        <w:tabs>
          <w:tab w:val="clear" w:pos="720"/>
          <w:tab w:val="center" w:pos="5760" w:leader="none"/>
          <w:tab w:val="left" w:pos="7560" w:leader="none"/>
        </w:tabs>
        <w:ind w:hanging="3330" w:start="3330" w:end="0"/>
        <w:rPr>
          <w:sz w:val="24"/>
          <w:szCs w:val="24"/>
        </w:rPr>
      </w:pPr>
      <w:r>
        <w:rPr>
          <w:sz w:val="24"/>
          <w:szCs w:val="24"/>
        </w:rPr>
        <w:t xml:space="preserve">           </w:t>
      </w:r>
      <w:r>
        <w:rPr>
          <w:sz w:val="24"/>
          <w:szCs w:val="24"/>
        </w:rPr>
        <w:t>WILLIAM V. MANHEIM</w:t>
        <w:tab/>
        <w:t xml:space="preserve">                                     JOSEPH M. MALKIN</w:t>
      </w:r>
    </w:p>
    <w:p>
      <w:pPr>
        <w:pStyle w:val="Normal"/>
        <w:keepNext w:val="true"/>
        <w:keepLines/>
        <w:tabs>
          <w:tab w:val="clear" w:pos="720"/>
          <w:tab w:val="center" w:pos="5760" w:leader="none"/>
          <w:tab w:val="left" w:pos="7560" w:leader="none"/>
        </w:tabs>
        <w:ind w:hanging="3330" w:start="3330" w:end="0"/>
        <w:rPr>
          <w:sz w:val="24"/>
          <w:szCs w:val="24"/>
        </w:rPr>
      </w:pPr>
      <w:r>
        <w:rPr>
          <w:sz w:val="24"/>
          <w:szCs w:val="24"/>
        </w:rPr>
      </w:r>
    </w:p>
    <w:p>
      <w:pPr>
        <w:pStyle w:val="Normal"/>
        <w:keepNext w:val="true"/>
        <w:keepLines/>
        <w:jc w:val="center"/>
        <w:rPr>
          <w:sz w:val="24"/>
          <w:szCs w:val="24"/>
        </w:rPr>
      </w:pPr>
      <w:r>
        <w:rPr>
          <w:sz w:val="24"/>
          <w:szCs w:val="24"/>
        </w:rPr>
        <w:t>Attorneys for PACIFIC GAS AND ELECTRIC COMPANY</w:t>
      </w:r>
    </w:p>
    <w:p>
      <w:pPr>
        <w:pStyle w:val="Normal"/>
        <w:keepNext w:val="true"/>
        <w:keepLines/>
        <w:ind w:start="4680" w:end="0"/>
        <w:rPr>
          <w:rFonts w:ascii="CG Times" w:hAnsi="CG Times" w:eastAsia="CG Times" w:cs="CG Times"/>
          <w:sz w:val="24"/>
          <w:szCs w:val="24"/>
        </w:rPr>
      </w:pPr>
      <w:r>
        <w:rPr>
          <w:rFonts w:eastAsia="CG Times" w:cs="CG Times" w:ascii="CG Times" w:hAnsi="CG Times"/>
          <w:sz w:val="24"/>
          <w:szCs w:val="24"/>
        </w:rPr>
      </w:r>
    </w:p>
    <w:p>
      <w:pPr>
        <w:pStyle w:val="Normal"/>
        <w:spacing w:lineRule="auto" w:line="480"/>
        <w:rPr>
          <w:sz w:val="24"/>
          <w:szCs w:val="24"/>
        </w:rPr>
      </w:pPr>
      <w:r>
        <w:rPr>
          <w:sz w:val="24"/>
          <w:szCs w:val="24"/>
        </w:rPr>
        <w:t>Dated:  November 20, 2000</w:t>
      </w:r>
    </w:p>
    <w:p>
      <w:pPr>
        <w:pStyle w:val="Normal"/>
        <w:spacing w:lineRule="auto" w:line="480"/>
        <w:rPr>
          <w:sz w:val="24"/>
          <w:szCs w:val="24"/>
        </w:rPr>
      </w:pPr>
      <w:r>
        <w:rPr>
          <w:sz w:val="24"/>
          <w:szCs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auto" w:line="480"/>
      <w:ind w:firstLine="1440" w:start="0" w:end="0"/>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2000-11-20T15:33:00Z</dcterms:created>
  <dc:creator>Melanie Dulay</dc:creator>
  <dc:description/>
  <dc:language>en-CA</dc:language>
  <cp:lastModifiedBy>Melanie Dulay</cp:lastModifiedBy>
  <cp:lastPrinted>2000-11-20T10:02:00Z</cp:lastPrinted>
  <dcterms:modified xsi:type="dcterms:W3CDTF">2000-11-20T15:33:00Z</dcterms:modified>
  <cp:revision>2</cp:revision>
  <dc:subject/>
  <dc:title>NOTICE OF WITHDRAWL OF SETTLEMENT</dc:title>
</cp:coreProperties>
</file>