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>NOTES FOR DISCUSSION</w:t>
      </w:r>
    </w:p>
    <w:p>
      <w:pPr>
        <w:pStyle w:val="Normal"/>
        <w:rPr>
          <w:b/>
        </w:rPr>
      </w:pPr>
      <w:r>
        <w:rPr>
          <w:b/>
        </w:rPr>
        <w:t>November 15, 2001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Preface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Cover 4 items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Perspective—focus primarily on FERC hearing as it applies to these transactions.  Cannot predict outcomes of litigation and appeals.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</w:rPr>
      </w:pPr>
      <w:r>
        <w:rPr>
          <w:b/>
        </w:rPr>
        <w:t>Note on period covered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3"/>
        </w:numPr>
        <w:rPr>
          <w:b/>
        </w:rPr>
      </w:pPr>
      <w:r>
        <w:rPr>
          <w:b/>
        </w:rPr>
        <w:t>June 2000 through January 2001 in data.  But refund period is different.  And future litigation may also affect periods.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1"/>
          <w:numId w:val="3"/>
        </w:numPr>
        <w:rPr>
          <w:b/>
        </w:rPr>
      </w:pPr>
      <w:r>
        <w:rPr>
          <w:b/>
        </w:rPr>
        <w:t>Although PG&amp;E may have stopped calculating PX Credit on January 19, 2001, the FERC refund may affect settlements after that date if they exceeded $150/MWh.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numPr>
          <w:ilvl w:val="0"/>
          <w:numId w:val="2"/>
        </w:numPr>
        <w:rPr/>
      </w:pPr>
      <w:r>
        <w:rPr/>
        <w:t>THE FERC ORDERS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June 19 order.  Going forward, limits on prices.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[July 12 Judge Wagner’s settlement recommendation.]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July 25 order with respect to “refunds” (offsets).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Some elements make sense on a going-forward basis for caps; not for refunds.  Likely to be litigated and appealed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basic formula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>MMCP = [Min (Ref price, Original Price) + $6] x 1.1 (after 1/5/01)</w:t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>Ref Price = [Heat Rate of least efficient (“last dispatched”) gas-fired thermal plant in the ISO control area, dispatched in the Real Time (Imbalance) market.] x [pot Gas Price in Zone of the plant]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1440" w:end="0"/>
        <w:rPr>
          <w:b/>
          <w:bCs/>
        </w:rPr>
      </w:pPr>
      <w:r>
        <w:rPr>
          <w:b/>
          <w:bCs/>
        </w:rPr>
        <w:t>Considerable ambiguity in these elements will lead to alternative interpretation and implementations.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ISO implementation biased upward.  Calif. Parties (including PG&amp;E) further biased upward.</w:t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THE THREE MARKETS AND HOW THEY RELATE TO SETTLEMENT PRICES AND REFUNDS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Block forward (arranged prior to Day Ahead)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PX Day Ahead and Hour Ahead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ISO Real Time (Imbalance) Market.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Give example, sales for 11 a.m. Friday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DA:  100 MWh @ $150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HA:</w:t>
        <w:tab/>
        <w:t>+5 MWh @ $130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Real Time: + 1 MWh @ $100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Heat Rate of least efficient plant implies MMCP of $50.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Refund = $10,000 + $400 + $50  = $10,450.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Works opposite direction purchases.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Implications: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May owe significant amounts of refunds on prior transactions.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May owe significant amounts for transaction outside of BEEP (real time) market.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Enron expects to “collect” for purchases above MMCP in PX Day Ahead market; may have to “pay” for sales in ISO real time market.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WHERE DO ENRON AND PG&amp;E DISAGREE ON INTERPRETATION OF THE FERC ORDER?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See issue statement.</w:t>
      </w:r>
      <w:r>
        <w:br w:type="page"/>
      </w:r>
    </w:p>
    <w:p>
      <w:pPr>
        <w:pStyle w:val="Normal"/>
        <w:ind w:start="720" w:end="0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WHAT IS THE IMPACT ON THE CTC CREDIT OF THE DIFFERENT VALUES OF MMCP?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Caution—very preliminary stage of analysis.  Recently-received data not yet incorporated.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Without MWh for Enron’s direct sales, can only provide limited insights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Review Average values of monthly prices in ISO and PX and PG&amp;E data.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No steady relationship.  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Varies importantly by month.  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Some months, PX Credit and MCP are closely correlated.  </w:t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Most months, not.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Simplifying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PX Credit/MWh = (PX price x Share) + (ISO price x Share)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With some assumptions, can determine this value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Assume PX Block Forward is small (true empirically) or constant.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Estimate shares using statistical model.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Result:  Hourly values of PX Credit/MWh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Can calculate CTC if know MWh of direct sales on an hourly basis.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</w:rPr>
      </w:pPr>
      <w:r>
        <w:rPr>
          <w:b/>
          <w:bCs/>
        </w:rPr>
        <w:t>Can calculate alternative values of CTC under different MMCP valuations (ISO, CSG, Cal Parties, Powerex, etc.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Can also analyze PG&amp;E data in latest ISO submission.  Not available to competitive supply group.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OTHER CONSIDERATIONS</w:t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The ISO cash settlement data imply that big IOU in November is due from PX, not PG&amp;E.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Raises concern that settling with PG&amp;E may not resolve the large outstanding balance from the ISO.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PX bankruptcy may delay receipt of any money owed to Enron.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numPr>
          <w:ilvl w:val="1"/>
          <w:numId w:val="3"/>
        </w:numPr>
        <w:rPr>
          <w:b/>
          <w:bCs/>
        </w:rPr>
      </w:pPr>
      <w:r>
        <w:rPr>
          <w:b/>
          <w:bCs/>
        </w:rPr>
        <w:t>Ie, could end up “paying” the amount owed in the ISO market, and waiting a long time for payment in the PX market.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</w:abstractNum>
  <w:abstractNum w:abstractNumId="3">
    <w:lvl w:ilvl="0">
      <w:start w:val="3931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</w:rPr>
    </w:lvl>
    <w:lvl w:ilvl="1">
      <w:start w:val="3931"/>
      <w:numFmt w:val="bullet"/>
      <w:lvlText w:val="-"/>
      <w:lvlJc w:val="start"/>
      <w:pPr>
        <w:tabs>
          <w:tab w:val="num" w:pos="2160"/>
        </w:tabs>
        <w:ind w:start="216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start"/>
      <w:pPr>
        <w:tabs>
          <w:tab w:val="num" w:pos="2520"/>
        </w:tabs>
        <w:ind w:star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960"/>
        </w:tabs>
        <w:ind w:star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680"/>
        </w:tabs>
        <w:ind w:star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400"/>
        </w:tabs>
        <w:ind w:star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6120"/>
        </w:tabs>
        <w:ind w:star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840"/>
        </w:tabs>
        <w:ind w:star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4">
    <w:name w:val="WW8Num2z4"/>
    <w:qFormat/>
    <w:rPr>
      <w:rFonts w:ascii="Courier New" w:hAnsi="Courier New" w:cs="Courier New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2001-11-15T17:40:00Z</dcterms:created>
  <dc:creator>CRA</dc:creator>
  <dc:description/>
  <dc:language>en-CA</dc:language>
  <cp:lastModifiedBy>CRA</cp:lastModifiedBy>
  <cp:lastPrinted>2001-11-15T15:51:00Z</cp:lastPrinted>
  <dcterms:modified xsi:type="dcterms:W3CDTF">2001-11-15T19:08:00Z</dcterms:modified>
  <cp:revision>4</cp:revision>
  <dc:subject/>
  <dc:title>NOTES FOR DISCUSSION</dc:title>
</cp:coreProperties>
</file>