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Comparison of Present and Proposed Filing Obligations for</w:t>
      </w:r>
    </w:p>
    <w:p>
      <w:pPr>
        <w:pStyle w:val="Normal"/>
        <w:jc w:val="center"/>
        <w:rPr>
          <w:b/>
        </w:rPr>
      </w:pPr>
      <w:r>
        <w:rPr>
          <w:b/>
        </w:rPr>
        <w:t>Generators and Power Marketers with Market-Based Rates</w:t>
      </w:r>
    </w:p>
    <w:p>
      <w:pPr>
        <w:pStyle w:val="Normal"/>
        <w:jc w:val="center"/>
        <w:rPr>
          <w:b/>
        </w:rPr>
      </w:pPr>
      <w:r>
        <w:rPr>
          <w:b/>
        </w:rPr>
        <w:t>Pursuant to FERC RM01-8-000, July 26, 2001</w:t>
      </w:r>
    </w:p>
    <w:p>
      <w:pPr>
        <w:pStyle w:val="Normal"/>
        <w:jc w:val="center"/>
        <w:rPr/>
      </w:pPr>
      <w:r>
        <w:rPr/>
        <w:t>(Comments Due October 5, 2001)</w:t>
      </w:r>
    </w:p>
    <w:p>
      <w:pPr>
        <w:pStyle w:val="Normal"/>
        <w:rPr/>
      </w:pPr>
      <w:r>
        <w:rPr/>
      </w:r>
    </w:p>
    <w:tbl>
      <w:tblPr>
        <w:tblW w:w="13176" w:type="dxa"/>
        <w:jc w:val="start"/>
        <w:tblInd w:w="0" w:type="dxa"/>
        <w:tblLayout w:type="fixed"/>
        <w:tblCellMar>
          <w:top w:w="0" w:type="dxa"/>
          <w:start w:w="108" w:type="dxa"/>
          <w:bottom w:w="0" w:type="dxa"/>
          <w:end w:w="108" w:type="dxa"/>
        </w:tblCellMar>
      </w:tblPr>
      <w:tblGrid>
        <w:gridCol w:w="2898"/>
        <w:gridCol w:w="5222"/>
        <w:gridCol w:w="5056"/>
      </w:tblGrid>
      <w:tr>
        <w:trPr>
          <w:tblHeader w:val="true"/>
        </w:trPr>
        <w:tc>
          <w:tcPr>
            <w:tcW w:w="2898" w:type="dxa"/>
            <w:tcBorders>
              <w:top w:val="double" w:sz="6" w:space="0" w:color="000000"/>
              <w:start w:val="double" w:sz="6" w:space="0" w:color="000000"/>
              <w:bottom w:val="double" w:sz="6" w:space="0" w:color="000000"/>
              <w:end w:val="single" w:sz="6" w:space="0" w:color="000000"/>
            </w:tcBorders>
          </w:tcPr>
          <w:p>
            <w:pPr>
              <w:pStyle w:val="Normal"/>
              <w:spacing w:before="60" w:after="60"/>
              <w:jc w:val="center"/>
              <w:rPr>
                <w:b/>
              </w:rPr>
            </w:pPr>
            <w:r>
              <w:rPr>
                <w:b/>
              </w:rPr>
              <w:t>Subject/Issue</w:t>
            </w:r>
          </w:p>
        </w:tc>
        <w:tc>
          <w:tcPr>
            <w:tcW w:w="5222" w:type="dxa"/>
            <w:tcBorders>
              <w:top w:val="double" w:sz="6" w:space="0" w:color="000000"/>
              <w:start w:val="single" w:sz="6" w:space="0" w:color="000000"/>
              <w:bottom w:val="double" w:sz="6" w:space="0" w:color="000000"/>
              <w:end w:val="single" w:sz="6" w:space="0" w:color="000000"/>
            </w:tcBorders>
          </w:tcPr>
          <w:p>
            <w:pPr>
              <w:pStyle w:val="Normal"/>
              <w:spacing w:before="60" w:after="60"/>
              <w:jc w:val="center"/>
              <w:rPr>
                <w:b/>
              </w:rPr>
            </w:pPr>
            <w:r>
              <w:rPr>
                <w:b/>
              </w:rPr>
              <w:t>Present Rules/Practices</w:t>
            </w:r>
          </w:p>
        </w:tc>
        <w:tc>
          <w:tcPr>
            <w:tcW w:w="5056" w:type="dxa"/>
            <w:tcBorders>
              <w:top w:val="double" w:sz="6" w:space="0" w:color="000000"/>
              <w:start w:val="single" w:sz="6" w:space="0" w:color="000000"/>
              <w:bottom w:val="double" w:sz="6" w:space="0" w:color="000000"/>
              <w:end w:val="double" w:sz="6" w:space="0" w:color="000000"/>
            </w:tcBorders>
          </w:tcPr>
          <w:p>
            <w:pPr>
              <w:pStyle w:val="Normal"/>
              <w:spacing w:before="60" w:after="60"/>
              <w:jc w:val="center"/>
              <w:rPr>
                <w:b/>
              </w:rPr>
            </w:pPr>
            <w:r>
              <w:rPr>
                <w:b/>
              </w:rPr>
              <w:t>Proposed Rules</w:t>
            </w:r>
          </w:p>
        </w:tc>
      </w:tr>
      <w:tr>
        <w:trPr/>
        <w:tc>
          <w:tcPr>
            <w:tcW w:w="2898" w:type="dxa"/>
            <w:tcBorders>
              <w:start w:val="double" w:sz="6" w:space="0" w:color="000000"/>
              <w:end w:val="single" w:sz="6" w:space="0" w:color="000000"/>
            </w:tcBorders>
          </w:tcPr>
          <w:p>
            <w:pPr>
              <w:pStyle w:val="Normal"/>
              <w:spacing w:before="60" w:after="60"/>
              <w:rPr/>
            </w:pPr>
            <w:r>
              <w:rPr/>
              <w:t>Service agreements to be filed</w:t>
            </w:r>
          </w:p>
        </w:tc>
        <w:tc>
          <w:tcPr>
            <w:tcW w:w="5222" w:type="dxa"/>
            <w:tcBorders>
              <w:start w:val="single" w:sz="6" w:space="0" w:color="000000"/>
              <w:end w:val="single" w:sz="6" w:space="0" w:color="000000"/>
            </w:tcBorders>
          </w:tcPr>
          <w:p>
            <w:pPr>
              <w:pStyle w:val="Normal"/>
              <w:numPr>
                <w:ilvl w:val="0"/>
                <w:numId w:val="2"/>
              </w:numPr>
              <w:spacing w:before="60" w:after="60"/>
              <w:rPr/>
            </w:pPr>
            <w:r>
              <w:rPr/>
              <w:t>For NUGs: long-term service agreements and short-term umbrella service agreements must be filed within 30 days of beginning of service</w:t>
            </w:r>
          </w:p>
          <w:p>
            <w:pPr>
              <w:pStyle w:val="Normal"/>
              <w:numPr>
                <w:ilvl w:val="0"/>
                <w:numId w:val="2"/>
              </w:numPr>
              <w:spacing w:before="60" w:after="60"/>
              <w:rPr/>
            </w:pPr>
            <w:r>
              <w:rPr/>
              <w:t>For marketers: no service agreement filing required</w:t>
            </w:r>
          </w:p>
          <w:p>
            <w:pPr>
              <w:pStyle w:val="Normal"/>
              <w:numPr>
                <w:ilvl w:val="0"/>
                <w:numId w:val="2"/>
              </w:numPr>
              <w:spacing w:before="60" w:after="60"/>
              <w:rPr/>
            </w:pPr>
            <w:r>
              <w:rPr/>
              <w:t>No confidential treatment permitted</w:t>
            </w:r>
          </w:p>
        </w:tc>
        <w:tc>
          <w:tcPr>
            <w:tcW w:w="5056" w:type="dxa"/>
            <w:tcBorders>
              <w:start w:val="single" w:sz="6" w:space="0" w:color="000000"/>
              <w:end w:val="double" w:sz="6" w:space="0" w:color="000000"/>
            </w:tcBorders>
          </w:tcPr>
          <w:p>
            <w:pPr>
              <w:pStyle w:val="Normal"/>
              <w:numPr>
                <w:ilvl w:val="0"/>
                <w:numId w:val="2"/>
              </w:numPr>
              <w:spacing w:before="60" w:after="60"/>
              <w:rPr/>
            </w:pPr>
            <w:r>
              <w:rPr/>
              <w:t>No service agreements pursuant to market-rate tariffs need to be filed</w:t>
            </w:r>
          </w:p>
        </w:tc>
      </w:tr>
      <w:tr>
        <w:trPr/>
        <w:tc>
          <w:tcPr>
            <w:tcW w:w="2898" w:type="dxa"/>
            <w:tcBorders>
              <w:top w:val="double" w:sz="6" w:space="0" w:color="000000"/>
              <w:start w:val="double" w:sz="6" w:space="0" w:color="000000"/>
              <w:bottom w:val="single" w:sz="6" w:space="0" w:color="000000"/>
              <w:end w:val="single" w:sz="6" w:space="0" w:color="000000"/>
            </w:tcBorders>
          </w:tcPr>
          <w:p>
            <w:pPr>
              <w:pStyle w:val="Normal"/>
              <w:spacing w:before="60" w:after="60"/>
              <w:rPr/>
            </w:pPr>
            <w:r>
              <w:rPr/>
              <w:t>Quarterly filing obligation</w:t>
            </w:r>
            <w:r>
              <w:rPr>
                <w:rStyle w:val="FootnoteCharacters"/>
                <w:rStyle w:val="FootnoteReference"/>
              </w:rPr>
              <w:footnoteReference w:id="2"/>
            </w:r>
          </w:p>
        </w:tc>
        <w:tc>
          <w:tcPr>
            <w:tcW w:w="5222" w:type="dxa"/>
            <w:tcBorders>
              <w:top w:val="double" w:sz="6" w:space="0" w:color="000000"/>
              <w:start w:val="single" w:sz="6" w:space="0" w:color="000000"/>
              <w:bottom w:val="single" w:sz="6" w:space="0" w:color="000000"/>
              <w:end w:val="single" w:sz="6" w:space="0" w:color="000000"/>
            </w:tcBorders>
          </w:tcPr>
          <w:p>
            <w:pPr>
              <w:pStyle w:val="Normal"/>
              <w:snapToGrid w:val="false"/>
              <w:spacing w:before="60" w:after="60"/>
              <w:rPr/>
            </w:pPr>
            <w:r>
              <w:rPr/>
            </w:r>
          </w:p>
        </w:tc>
        <w:tc>
          <w:tcPr>
            <w:tcW w:w="5056" w:type="dxa"/>
            <w:tcBorders>
              <w:top w:val="double" w:sz="6" w:space="0" w:color="000000"/>
              <w:start w:val="single" w:sz="6" w:space="0" w:color="000000"/>
              <w:bottom w:val="single" w:sz="6" w:space="0" w:color="000000"/>
              <w:end w:val="double" w:sz="6" w:space="0" w:color="000000"/>
            </w:tcBorders>
          </w:tcPr>
          <w:p>
            <w:pPr>
              <w:pStyle w:val="Normal"/>
              <w:snapToGrid w:val="false"/>
              <w:spacing w:before="60" w:after="60"/>
              <w:rPr/>
            </w:pPr>
            <w:r>
              <w:rPr/>
            </w:r>
          </w:p>
        </w:tc>
      </w:tr>
      <w:tr>
        <w:trPr/>
        <w:tc>
          <w:tcPr>
            <w:tcW w:w="2898" w:type="dxa"/>
            <w:tcBorders>
              <w:start w:val="double" w:sz="6" w:space="0" w:color="000000"/>
              <w:bottom w:val="single" w:sz="6" w:space="0" w:color="000000"/>
              <w:end w:val="single" w:sz="6" w:space="0" w:color="000000"/>
            </w:tcBorders>
          </w:tcPr>
          <w:p>
            <w:pPr>
              <w:pStyle w:val="Normal"/>
              <w:spacing w:before="60" w:after="60"/>
              <w:ind w:start="360" w:end="0"/>
              <w:rPr/>
            </w:pPr>
            <w:r>
              <w:rPr/>
              <w:t>Timing of filing</w:t>
            </w:r>
          </w:p>
        </w:tc>
        <w:tc>
          <w:tcPr>
            <w:tcW w:w="5222" w:type="dxa"/>
            <w:tcBorders>
              <w:start w:val="single" w:sz="6" w:space="0" w:color="000000"/>
              <w:bottom w:val="single" w:sz="6" w:space="0" w:color="000000"/>
              <w:end w:val="single" w:sz="6" w:space="0" w:color="000000"/>
            </w:tcBorders>
          </w:tcPr>
          <w:p>
            <w:pPr>
              <w:pStyle w:val="Normal"/>
              <w:numPr>
                <w:ilvl w:val="0"/>
                <w:numId w:val="2"/>
              </w:numPr>
              <w:spacing w:before="60" w:after="60"/>
              <w:rPr/>
            </w:pPr>
            <w:r>
              <w:rPr/>
              <w:t>Within 30 days after end of calendar quarter</w:t>
            </w:r>
          </w:p>
        </w:tc>
        <w:tc>
          <w:tcPr>
            <w:tcW w:w="5056" w:type="dxa"/>
            <w:tcBorders>
              <w:start w:val="single" w:sz="6" w:space="0" w:color="000000"/>
              <w:bottom w:val="single" w:sz="6" w:space="0" w:color="000000"/>
              <w:end w:val="double" w:sz="6" w:space="0" w:color="000000"/>
            </w:tcBorders>
          </w:tcPr>
          <w:p>
            <w:pPr>
              <w:pStyle w:val="Normal"/>
              <w:numPr>
                <w:ilvl w:val="0"/>
                <w:numId w:val="2"/>
              </w:numPr>
              <w:spacing w:before="60" w:after="60"/>
              <w:rPr/>
            </w:pPr>
            <w:r>
              <w:rPr/>
              <w:t>Unclear (NOPR is silent to this issue)</w:t>
            </w:r>
          </w:p>
        </w:tc>
      </w:tr>
      <w:tr>
        <w:trPr/>
        <w:tc>
          <w:tcPr>
            <w:tcW w:w="2898" w:type="dxa"/>
            <w:tcBorders>
              <w:top w:val="single" w:sz="6" w:space="0" w:color="000000"/>
              <w:start w:val="double" w:sz="6" w:space="0" w:color="000000"/>
              <w:bottom w:val="single" w:sz="6" w:space="0" w:color="000000"/>
              <w:end w:val="single" w:sz="6" w:space="0" w:color="000000"/>
            </w:tcBorders>
          </w:tcPr>
          <w:p>
            <w:pPr>
              <w:pStyle w:val="Normal"/>
              <w:spacing w:before="60" w:after="60"/>
              <w:ind w:start="360" w:end="0"/>
              <w:rPr/>
            </w:pPr>
            <w:r>
              <w:rPr/>
              <w:t>Means of filing</w:t>
            </w:r>
          </w:p>
        </w:tc>
        <w:tc>
          <w:tcPr>
            <w:tcW w:w="5222" w:type="dxa"/>
            <w:tcBorders>
              <w:top w:val="single" w:sz="6" w:space="0" w:color="000000"/>
              <w:start w:val="single" w:sz="6" w:space="0" w:color="000000"/>
              <w:bottom w:val="single" w:sz="6" w:space="0" w:color="000000"/>
              <w:end w:val="single" w:sz="6" w:space="0" w:color="000000"/>
            </w:tcBorders>
          </w:tcPr>
          <w:p>
            <w:pPr>
              <w:pStyle w:val="Normal"/>
              <w:numPr>
                <w:ilvl w:val="0"/>
                <w:numId w:val="2"/>
              </w:numPr>
              <w:spacing w:before="60" w:after="60"/>
              <w:rPr/>
            </w:pPr>
            <w:r>
              <w:rPr/>
              <w:t>Paper</w:t>
            </w:r>
          </w:p>
        </w:tc>
        <w:tc>
          <w:tcPr>
            <w:tcW w:w="5056" w:type="dxa"/>
            <w:tcBorders>
              <w:top w:val="single" w:sz="6" w:space="0" w:color="000000"/>
              <w:start w:val="single" w:sz="6" w:space="0" w:color="000000"/>
              <w:bottom w:val="single" w:sz="6" w:space="0" w:color="000000"/>
              <w:end w:val="double" w:sz="6" w:space="0" w:color="000000"/>
            </w:tcBorders>
          </w:tcPr>
          <w:p>
            <w:pPr>
              <w:pStyle w:val="Normal"/>
              <w:numPr>
                <w:ilvl w:val="0"/>
                <w:numId w:val="2"/>
              </w:numPr>
              <w:spacing w:before="60" w:after="60"/>
              <w:rPr/>
            </w:pPr>
            <w:r>
              <w:rPr/>
              <w:t>Electronically with FERC-provided software</w:t>
            </w:r>
          </w:p>
        </w:tc>
      </w:tr>
      <w:tr>
        <w:trPr/>
        <w:tc>
          <w:tcPr>
            <w:tcW w:w="2898" w:type="dxa"/>
            <w:tcBorders>
              <w:top w:val="single" w:sz="6" w:space="0" w:color="000000"/>
              <w:start w:val="double" w:sz="6" w:space="0" w:color="000000"/>
              <w:bottom w:val="single" w:sz="6" w:space="0" w:color="000000"/>
              <w:end w:val="single" w:sz="6" w:space="0" w:color="000000"/>
            </w:tcBorders>
          </w:tcPr>
          <w:p>
            <w:pPr>
              <w:pStyle w:val="Normal"/>
              <w:spacing w:before="60" w:after="60"/>
              <w:ind w:start="360" w:end="0"/>
              <w:rPr/>
            </w:pPr>
            <w:r>
              <w:rPr/>
              <w:t>Public posting of filing</w:t>
            </w:r>
          </w:p>
        </w:tc>
        <w:tc>
          <w:tcPr>
            <w:tcW w:w="5222" w:type="dxa"/>
            <w:tcBorders>
              <w:top w:val="single" w:sz="6" w:space="0" w:color="000000"/>
              <w:start w:val="single" w:sz="6" w:space="0" w:color="000000"/>
              <w:bottom w:val="single" w:sz="6" w:space="0" w:color="000000"/>
              <w:end w:val="single" w:sz="6" w:space="0" w:color="000000"/>
            </w:tcBorders>
          </w:tcPr>
          <w:p>
            <w:pPr>
              <w:pStyle w:val="Normal"/>
              <w:numPr>
                <w:ilvl w:val="0"/>
                <w:numId w:val="2"/>
              </w:numPr>
              <w:spacing w:before="60" w:after="60"/>
              <w:rPr/>
            </w:pPr>
            <w:r>
              <w:rPr/>
              <w:t>N/A</w:t>
            </w:r>
          </w:p>
        </w:tc>
        <w:tc>
          <w:tcPr>
            <w:tcW w:w="5056" w:type="dxa"/>
            <w:tcBorders>
              <w:top w:val="single" w:sz="6" w:space="0" w:color="000000"/>
              <w:start w:val="single" w:sz="6" w:space="0" w:color="000000"/>
              <w:bottom w:val="single" w:sz="6" w:space="0" w:color="000000"/>
              <w:end w:val="double" w:sz="6" w:space="0" w:color="000000"/>
            </w:tcBorders>
          </w:tcPr>
          <w:p>
            <w:pPr>
              <w:pStyle w:val="Normal"/>
              <w:numPr>
                <w:ilvl w:val="0"/>
                <w:numId w:val="2"/>
              </w:numPr>
              <w:spacing w:before="60" w:after="60"/>
              <w:rPr/>
            </w:pPr>
            <w:r>
              <w:rPr/>
              <w:t>On website with public access without registration or fee</w:t>
            </w:r>
          </w:p>
        </w:tc>
      </w:tr>
      <w:tr>
        <w:trPr/>
        <w:tc>
          <w:tcPr>
            <w:tcW w:w="2898" w:type="dxa"/>
            <w:tcBorders>
              <w:top w:val="single" w:sz="6" w:space="0" w:color="000000"/>
              <w:start w:val="double" w:sz="6" w:space="0" w:color="000000"/>
              <w:bottom w:val="single" w:sz="6" w:space="0" w:color="000000"/>
              <w:end w:val="single" w:sz="6" w:space="0" w:color="000000"/>
            </w:tcBorders>
          </w:tcPr>
          <w:p>
            <w:pPr>
              <w:pStyle w:val="Normal"/>
              <w:spacing w:before="60" w:after="60"/>
              <w:ind w:start="360" w:end="0"/>
              <w:rPr/>
            </w:pPr>
            <w:r>
              <w:rPr/>
              <w:t>Public maintenance of information</w:t>
            </w:r>
          </w:p>
        </w:tc>
        <w:tc>
          <w:tcPr>
            <w:tcW w:w="5222" w:type="dxa"/>
            <w:tcBorders>
              <w:top w:val="single" w:sz="6" w:space="0" w:color="000000"/>
              <w:start w:val="single" w:sz="6" w:space="0" w:color="000000"/>
              <w:bottom w:val="single" w:sz="6" w:space="0" w:color="000000"/>
              <w:end w:val="single" w:sz="6" w:space="0" w:color="000000"/>
            </w:tcBorders>
          </w:tcPr>
          <w:p>
            <w:pPr>
              <w:pStyle w:val="Normal"/>
              <w:numPr>
                <w:ilvl w:val="0"/>
                <w:numId w:val="2"/>
              </w:numPr>
              <w:spacing w:before="60" w:after="60"/>
              <w:rPr/>
            </w:pPr>
            <w:r>
              <w:rPr/>
              <w:t>N/A</w:t>
            </w:r>
          </w:p>
        </w:tc>
        <w:tc>
          <w:tcPr>
            <w:tcW w:w="5056" w:type="dxa"/>
            <w:tcBorders>
              <w:top w:val="single" w:sz="6" w:space="0" w:color="000000"/>
              <w:start w:val="single" w:sz="6" w:space="0" w:color="000000"/>
              <w:bottom w:val="single" w:sz="6" w:space="0" w:color="000000"/>
              <w:end w:val="double" w:sz="6" w:space="0" w:color="000000"/>
            </w:tcBorders>
          </w:tcPr>
          <w:p>
            <w:pPr>
              <w:pStyle w:val="Normal"/>
              <w:numPr>
                <w:ilvl w:val="0"/>
                <w:numId w:val="2"/>
              </w:numPr>
              <w:spacing w:before="60" w:after="60"/>
              <w:rPr/>
            </w:pPr>
            <w:r>
              <w:rPr/>
              <w:t>Three years of data must be maintained on website</w:t>
            </w:r>
          </w:p>
        </w:tc>
      </w:tr>
      <w:tr>
        <w:trPr/>
        <w:tc>
          <w:tcPr>
            <w:tcW w:w="2898" w:type="dxa"/>
            <w:tcBorders>
              <w:top w:val="single" w:sz="6" w:space="0" w:color="000000"/>
              <w:start w:val="double" w:sz="6" w:space="0" w:color="000000"/>
              <w:bottom w:val="single" w:sz="6" w:space="0" w:color="000000"/>
              <w:end w:val="single" w:sz="6" w:space="0" w:color="000000"/>
            </w:tcBorders>
          </w:tcPr>
          <w:p>
            <w:pPr>
              <w:pStyle w:val="Normal"/>
              <w:spacing w:before="60" w:after="60"/>
              <w:ind w:start="360" w:end="0"/>
              <w:rPr/>
            </w:pPr>
            <w:r>
              <w:rPr/>
              <w:t>Subject transactions</w:t>
            </w:r>
          </w:p>
        </w:tc>
        <w:tc>
          <w:tcPr>
            <w:tcW w:w="5222" w:type="dxa"/>
            <w:tcBorders>
              <w:top w:val="single" w:sz="6" w:space="0" w:color="000000"/>
              <w:start w:val="single" w:sz="6" w:space="0" w:color="000000"/>
              <w:bottom w:val="single" w:sz="6" w:space="0" w:color="000000"/>
              <w:end w:val="single" w:sz="6" w:space="0" w:color="000000"/>
            </w:tcBorders>
          </w:tcPr>
          <w:p>
            <w:pPr>
              <w:pStyle w:val="Normal"/>
              <w:numPr>
                <w:ilvl w:val="0"/>
                <w:numId w:val="2"/>
              </w:numPr>
              <w:spacing w:before="60" w:after="60"/>
              <w:rPr/>
            </w:pPr>
            <w:r>
              <w:rPr/>
              <w:t>For NUGs: transactions that result in actual delivery of power under umbrella short-term service agreements</w:t>
            </w:r>
          </w:p>
          <w:p>
            <w:pPr>
              <w:pStyle w:val="Normal"/>
              <w:numPr>
                <w:ilvl w:val="0"/>
                <w:numId w:val="2"/>
              </w:numPr>
              <w:spacing w:before="60" w:after="60"/>
              <w:rPr/>
            </w:pPr>
            <w:r>
              <w:rPr/>
              <w:t>For marketers: all transactions that result in actual delivery of power</w:t>
            </w:r>
          </w:p>
        </w:tc>
        <w:tc>
          <w:tcPr>
            <w:tcW w:w="5056" w:type="dxa"/>
            <w:tcBorders>
              <w:top w:val="single" w:sz="6" w:space="0" w:color="000000"/>
              <w:start w:val="single" w:sz="6" w:space="0" w:color="000000"/>
              <w:bottom w:val="single" w:sz="6" w:space="0" w:color="000000"/>
              <w:end w:val="double" w:sz="6" w:space="0" w:color="000000"/>
            </w:tcBorders>
          </w:tcPr>
          <w:p>
            <w:pPr>
              <w:pStyle w:val="Normal"/>
              <w:numPr>
                <w:ilvl w:val="0"/>
                <w:numId w:val="2"/>
              </w:numPr>
              <w:spacing w:before="60" w:after="60"/>
              <w:rPr/>
            </w:pPr>
            <w:r>
              <w:rPr/>
              <w:t xml:space="preserve">All transactions, </w:t>
            </w:r>
            <w:r>
              <w:rPr>
                <w:u w:val="single"/>
              </w:rPr>
              <w:t>including book outs and net outs</w:t>
            </w:r>
          </w:p>
        </w:tc>
      </w:tr>
      <w:tr>
        <w:trPr/>
        <w:tc>
          <w:tcPr>
            <w:tcW w:w="2898" w:type="dxa"/>
            <w:tcBorders>
              <w:top w:val="single" w:sz="6" w:space="0" w:color="000000"/>
              <w:start w:val="double" w:sz="6" w:space="0" w:color="000000"/>
              <w:bottom w:val="single" w:sz="6" w:space="0" w:color="000000"/>
              <w:end w:val="single" w:sz="6" w:space="0" w:color="000000"/>
            </w:tcBorders>
          </w:tcPr>
          <w:p>
            <w:pPr>
              <w:pStyle w:val="Normal"/>
              <w:spacing w:before="60" w:after="60"/>
              <w:ind w:start="360" w:end="0"/>
              <w:rPr/>
            </w:pPr>
            <w:r>
              <w:rPr/>
              <w:t>Content of reports</w:t>
            </w:r>
          </w:p>
        </w:tc>
        <w:tc>
          <w:tcPr>
            <w:tcW w:w="5222" w:type="dxa"/>
            <w:tcBorders>
              <w:top w:val="single" w:sz="6" w:space="0" w:color="000000"/>
              <w:start w:val="single" w:sz="6" w:space="0" w:color="000000"/>
              <w:bottom w:val="single" w:sz="6" w:space="0" w:color="000000"/>
              <w:end w:val="single" w:sz="6" w:space="0" w:color="000000"/>
            </w:tcBorders>
          </w:tcPr>
          <w:p>
            <w:pPr>
              <w:pStyle w:val="Normal"/>
              <w:numPr>
                <w:ilvl w:val="0"/>
                <w:numId w:val="2"/>
              </w:numPr>
              <w:spacing w:before="60" w:after="60"/>
              <w:rPr/>
            </w:pPr>
            <w:r>
              <w:rPr/>
              <w:t>Description of each transaction, including counterparty, period, product, price, quantity, delivery point</w:t>
            </w:r>
          </w:p>
          <w:p>
            <w:pPr>
              <w:pStyle w:val="Normal"/>
              <w:numPr>
                <w:ilvl w:val="0"/>
                <w:numId w:val="2"/>
              </w:numPr>
              <w:spacing w:before="60" w:after="60"/>
              <w:rPr/>
            </w:pPr>
            <w:r>
              <w:rPr/>
              <w:t>FERC generally permits, but does not expressly condone, a certain level of aggregation</w:t>
            </w:r>
          </w:p>
          <w:p>
            <w:pPr>
              <w:pStyle w:val="Normal"/>
              <w:spacing w:before="60" w:after="60"/>
              <w:rPr/>
            </w:pPr>
            <w:r>
              <w:rPr/>
            </w:r>
          </w:p>
        </w:tc>
        <w:tc>
          <w:tcPr>
            <w:tcW w:w="5056" w:type="dxa"/>
            <w:tcBorders>
              <w:top w:val="single" w:sz="6" w:space="0" w:color="000000"/>
              <w:start w:val="single" w:sz="6" w:space="0" w:color="000000"/>
              <w:bottom w:val="single" w:sz="6" w:space="0" w:color="000000"/>
              <w:end w:val="double" w:sz="6" w:space="0" w:color="000000"/>
            </w:tcBorders>
          </w:tcPr>
          <w:p>
            <w:pPr>
              <w:pStyle w:val="Normal"/>
              <w:numPr>
                <w:ilvl w:val="0"/>
                <w:numId w:val="2"/>
              </w:numPr>
              <w:spacing w:before="60" w:after="60"/>
              <w:rPr/>
            </w:pPr>
            <w:r>
              <w:rPr/>
              <w:t>Contract information</w:t>
            </w:r>
          </w:p>
          <w:p>
            <w:pPr>
              <w:pStyle w:val="Normal"/>
              <w:numPr>
                <w:ilvl w:val="0"/>
                <w:numId w:val="2"/>
              </w:numPr>
              <w:spacing w:before="60" w:after="60"/>
              <w:ind w:hanging="360" w:start="738" w:end="0"/>
              <w:rPr/>
            </w:pPr>
            <w:r>
              <w:rPr/>
              <w:t>Seller, buyer, product, effective date, termination date, rate, maximum quantity, receipt and delivery points</w:t>
            </w:r>
          </w:p>
          <w:p>
            <w:pPr>
              <w:pStyle w:val="Normal"/>
              <w:numPr>
                <w:ilvl w:val="0"/>
                <w:numId w:val="2"/>
              </w:numPr>
              <w:spacing w:before="60" w:after="60"/>
              <w:rPr/>
            </w:pPr>
            <w:r>
              <w:rPr/>
              <w:t>Transaction specific information</w:t>
            </w:r>
          </w:p>
          <w:p>
            <w:pPr>
              <w:pStyle w:val="Normal"/>
              <w:numPr>
                <w:ilvl w:val="0"/>
                <w:numId w:val="2"/>
              </w:numPr>
              <w:spacing w:before="60" w:after="60"/>
              <w:ind w:hanging="360" w:start="738" w:end="0"/>
              <w:rPr/>
            </w:pPr>
            <w:r>
              <w:rPr/>
              <w:t>Seller, buyer, product, transaction execution date, duration, price, quantity, receipt and delivery points</w:t>
            </w:r>
          </w:p>
        </w:tc>
      </w:tr>
      <w:tr>
        <w:trPr/>
        <w:tc>
          <w:tcPr>
            <w:tcW w:w="2898" w:type="dxa"/>
            <w:tcBorders>
              <w:top w:val="single" w:sz="6" w:space="0" w:color="000000"/>
              <w:start w:val="double" w:sz="6" w:space="0" w:color="000000"/>
              <w:bottom w:val="double" w:sz="6" w:space="0" w:color="000000"/>
              <w:end w:val="single" w:sz="6" w:space="0" w:color="000000"/>
            </w:tcBorders>
          </w:tcPr>
          <w:p>
            <w:pPr>
              <w:pStyle w:val="Normal"/>
              <w:spacing w:before="60" w:after="60"/>
              <w:ind w:start="360" w:end="0"/>
              <w:rPr/>
            </w:pPr>
            <w:r>
              <w:rPr/>
              <w:t>Confidentiality</w:t>
            </w:r>
          </w:p>
        </w:tc>
        <w:tc>
          <w:tcPr>
            <w:tcW w:w="5222" w:type="dxa"/>
            <w:tcBorders>
              <w:top w:val="single" w:sz="6" w:space="0" w:color="000000"/>
              <w:start w:val="single" w:sz="6" w:space="0" w:color="000000"/>
              <w:bottom w:val="double" w:sz="6" w:space="0" w:color="000000"/>
              <w:end w:val="single" w:sz="6" w:space="0" w:color="000000"/>
            </w:tcBorders>
          </w:tcPr>
          <w:p>
            <w:pPr>
              <w:pStyle w:val="Normal"/>
              <w:numPr>
                <w:ilvl w:val="0"/>
                <w:numId w:val="2"/>
              </w:numPr>
              <w:spacing w:before="60" w:after="60"/>
              <w:rPr/>
            </w:pPr>
            <w:r>
              <w:rPr/>
              <w:t>None permitted</w:t>
            </w:r>
          </w:p>
        </w:tc>
        <w:tc>
          <w:tcPr>
            <w:tcW w:w="5056" w:type="dxa"/>
            <w:tcBorders>
              <w:top w:val="single" w:sz="6" w:space="0" w:color="000000"/>
              <w:start w:val="single" w:sz="6" w:space="0" w:color="000000"/>
              <w:bottom w:val="double" w:sz="6" w:space="0" w:color="000000"/>
              <w:end w:val="double" w:sz="6" w:space="0" w:color="000000"/>
            </w:tcBorders>
          </w:tcPr>
          <w:p>
            <w:pPr>
              <w:pStyle w:val="Normal"/>
              <w:numPr>
                <w:ilvl w:val="0"/>
                <w:numId w:val="2"/>
              </w:numPr>
              <w:spacing w:before="60" w:after="60"/>
              <w:rPr/>
            </w:pPr>
            <w:r>
              <w:rPr/>
              <w:t>Present policy noted in NOPR; no intent to change indicated</w:t>
            </w:r>
            <w:r>
              <w:rPr>
                <w:rStyle w:val="FootnoteCharacters"/>
                <w:rStyle w:val="FootnoteReference"/>
              </w:rPr>
              <w:footnoteReference w:id="3"/>
            </w:r>
          </w:p>
        </w:tc>
      </w:tr>
    </w:tbl>
    <w:p>
      <w:pPr>
        <w:pStyle w:val="Normal"/>
        <w:rPr/>
      </w:pPr>
      <w:r>
        <w:rPr/>
      </w:r>
    </w:p>
    <w:sectPr>
      <w:footerReference w:type="default" r:id="rId2"/>
      <w:footnotePr>
        <w:numFmt w:val="decimal"/>
      </w:footnotePr>
      <w:type w:val="nextPage"/>
      <w:pgSz w:orient="landscape" w:w="15840" w:h="122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64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ab/>
        <w:t>Presently, these quarterly filings are commonly referred to as “quarterly transaction reports.”  Under the system proposed by the NOPR, these quarterly filings will be referred to as the “index of customers,” although, as shown in the table, their core substance will remain the same.</w:t>
      </w:r>
    </w:p>
  </w:footnote>
  <w:footnote w:id="3">
    <w:p>
      <w:pPr>
        <w:pStyle w:val="FootnoteText"/>
        <w:spacing w:before="0" w:after="240"/>
        <w:rPr/>
      </w:pPr>
      <w:r>
        <w:rPr>
          <w:rStyle w:val="FootnoteCharacters"/>
        </w:rPr>
        <w:footnoteRef/>
      </w:r>
      <w:r>
        <w:rPr/>
        <w:t xml:space="preserve"> </w:t>
      </w:r>
      <w:r>
        <w:rPr/>
        <w:tab/>
        <w:t>Note that the Commission’s order imposing reporting requirement for natural gas sales into California (RM01-9-000) issued the same day as the electricity reporting NOPR permits much of the information to be filed to be submitted as confidential, as it has permitted in the past for other collections of gas transaction data.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sz w:val="16"/>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ind w:hanging="720" w:start="720" w:end="0"/>
      <w:outlineLvl w:val="0"/>
    </w:pPr>
    <w:rPr>
      <w:b/>
      <w:caps/>
      <w:kern w:val="2"/>
    </w:rPr>
  </w:style>
  <w:style w:type="paragraph" w:styleId="Heading2">
    <w:name w:val="heading 2"/>
    <w:basedOn w:val="Heading1"/>
    <w:next w:val="Normal"/>
    <w:qFormat/>
    <w:pPr>
      <w:numPr>
        <w:ilvl w:val="1"/>
        <w:numId w:val="1"/>
      </w:numPr>
      <w:ind w:hanging="720" w:start="1440" w:end="0"/>
      <w:outlineLvl w:val="1"/>
    </w:pPr>
    <w:rPr>
      <w:caps w:val="false"/>
      <w:smallCaps w:val="false"/>
    </w:rPr>
  </w:style>
  <w:style w:type="paragraph" w:styleId="Heading3">
    <w:name w:val="heading 3"/>
    <w:basedOn w:val="Heading2"/>
    <w:next w:val="Normal"/>
    <w:qFormat/>
    <w:pPr>
      <w:numPr>
        <w:ilvl w:val="2"/>
        <w:numId w:val="1"/>
      </w:numPr>
      <w:ind w:hanging="720" w:start="2160" w:end="0"/>
      <w:outlineLvl w:val="2"/>
    </w:pPr>
    <w:rPr/>
  </w:style>
  <w:style w:type="paragraph" w:styleId="Heading4">
    <w:name w:val="heading 4"/>
    <w:basedOn w:val="Heading3"/>
    <w:next w:val="Normal"/>
    <w:qFormat/>
    <w:pPr>
      <w:numPr>
        <w:ilvl w:val="3"/>
        <w:numId w:val="1"/>
      </w:numPr>
      <w:ind w:hanging="720" w:start="2880" w:end="0"/>
      <w:outlineLvl w:val="3"/>
    </w:pPr>
    <w:rPr/>
  </w:style>
  <w:style w:type="paragraph" w:styleId="Heading5">
    <w:name w:val="heading 5"/>
    <w:basedOn w:val="Heading4"/>
    <w:next w:val="Normal"/>
    <w:qFormat/>
    <w:pPr>
      <w:numPr>
        <w:ilvl w:val="4"/>
        <w:numId w:val="1"/>
      </w:numPr>
      <w:ind w:hanging="720" w:start="3600" w:end="0"/>
      <w:outlineLvl w:val="4"/>
    </w:pPr>
    <w:rPr/>
  </w:style>
  <w:style w:type="character" w:styleId="WW8NumSt1z0">
    <w:name w:val="WW8NumSt1z0"/>
    <w:qFormat/>
    <w:rPr>
      <w:rFonts w:ascii="Symbol" w:hAnsi="Symbol" w:cs="Symbol"/>
      <w:sz w:val="16"/>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2001-09-07T17:59:00Z</dcterms:created>
  <dc:creator>JAKUBIJM</dc:creator>
  <dc:description/>
  <dc:language>en-CA</dc:language>
  <cp:lastModifiedBy>Valued Gateway Client</cp:lastModifiedBy>
  <cp:lastPrinted>2001-08-07T10:32:00Z</cp:lastPrinted>
  <dcterms:modified xsi:type="dcterms:W3CDTF">2001-09-07T17:59:00Z</dcterms:modified>
  <cp:revision>2</cp:revision>
  <dc:subject/>
  <dc:title>NOPR Reporting Obligations Comparison</dc:title>
</cp:coreProperties>
</file>