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FF"/>
          <w:sz w:val="28"/>
        </w:rPr>
      </w:pPr>
      <w:r>
        <w:rPr>
          <w:color w:val="0000FF"/>
          <w:sz w:val="28"/>
        </w:rPr>
        <w:t>Nomination Screen</w:t>
      </w:r>
    </w:p>
    <w:p>
      <w:pPr>
        <w:pStyle w:val="Normal"/>
        <w:numPr>
          <w:ilvl w:val="0"/>
          <w:numId w:val="5"/>
        </w:numPr>
        <w:ind w:hanging="360" w:start="360" w:end="0"/>
        <w:rPr/>
      </w:pPr>
      <w:r>
        <w:rPr>
          <w:b/>
        </w:rPr>
        <w:t>Open screen</w:t>
      </w:r>
    </w:p>
    <w:p>
      <w:pPr>
        <w:pStyle w:val="Normal"/>
        <w:numPr>
          <w:ilvl w:val="0"/>
          <w:numId w:val="0"/>
        </w:numPr>
        <w:ind w:hanging="0" w:start="720" w:end="0"/>
        <w:jc w:val="both"/>
        <w:rPr/>
      </w:pPr>
      <w:r>
        <w:rPr/>
        <w:t xml:space="preserve">On the open box the user can key desired contract or </w:t>
      </w:r>
      <w:r>
        <w:rPr>
          <w:b/>
          <w:bCs/>
          <w:i/>
          <w:iCs/>
        </w:rPr>
        <w:t>right click</w:t>
      </w:r>
      <w:r>
        <w:rPr/>
        <w:t xml:space="preserve"> on the contract field and select the desired search option:</w:t>
      </w:r>
    </w:p>
    <w:p>
      <w:pPr>
        <w:pStyle w:val="Normal"/>
        <w:numPr>
          <w:ilvl w:val="0"/>
          <w:numId w:val="0"/>
        </w:numPr>
        <w:ind w:hanging="0" w:start="720" w:end="0"/>
        <w:jc w:val="both"/>
        <w:rPr>
          <w:b/>
          <w:i/>
          <w:i/>
          <w:iCs/>
        </w:rPr>
      </w:pPr>
      <w:r>
        <w:rPr/>
        <w:t xml:space="preserve"> </w:t>
      </w:r>
      <w:r>
        <w:rPr>
          <w:b/>
          <w:i/>
          <w:iCs/>
        </w:rPr>
        <w:t xml:space="preserve">Name Begins With </w:t>
      </w:r>
      <w:r>
        <w:rPr>
          <w:bCs/>
        </w:rPr>
        <w:t>will provide the user all available contracts for user ID.</w:t>
      </w:r>
    </w:p>
    <w:p>
      <w:pPr>
        <w:pStyle w:val="Normal"/>
        <w:numPr>
          <w:ilvl w:val="0"/>
          <w:numId w:val="0"/>
        </w:numPr>
        <w:ind w:hanging="0" w:start="720" w:end="0"/>
        <w:jc w:val="both"/>
        <w:rPr>
          <w:b/>
          <w:i/>
          <w:i/>
          <w:iCs/>
        </w:rPr>
      </w:pPr>
      <w:r>
        <w:rPr>
          <w:b/>
          <w:i/>
          <w:iCs/>
        </w:rPr>
        <w:t xml:space="preserve">Name Contains </w:t>
      </w:r>
      <w:r>
        <w:rPr>
          <w:bCs/>
        </w:rPr>
        <w:t>will provide the user all available contracts for user ID</w:t>
      </w:r>
    </w:p>
    <w:p>
      <w:pPr>
        <w:pStyle w:val="Normal"/>
        <w:numPr>
          <w:ilvl w:val="0"/>
          <w:numId w:val="0"/>
        </w:numPr>
        <w:ind w:hanging="0" w:start="720" w:end="0"/>
        <w:jc w:val="both"/>
        <w:rPr/>
      </w:pPr>
      <w:r>
        <w:rPr>
          <w:b/>
          <w:i/>
          <w:iCs/>
        </w:rPr>
        <w:t xml:space="preserve">Svc Req K </w:t>
      </w:r>
      <w:r>
        <w:rPr>
          <w:bCs/>
        </w:rPr>
        <w:t>will provide the user all available contracts for user ID</w:t>
      </w:r>
    </w:p>
    <w:p>
      <w:pPr>
        <w:pStyle w:val="Normal"/>
        <w:numPr>
          <w:ilvl w:val="0"/>
          <w:numId w:val="0"/>
        </w:numPr>
        <w:ind w:hanging="0" w:start="720" w:end="0"/>
        <w:jc w:val="both"/>
        <w:rPr/>
      </w:pPr>
      <w:r>
        <w:rPr/>
      </w:r>
    </w:p>
    <w:p>
      <w:pPr>
        <w:pStyle w:val="Normal"/>
        <w:numPr>
          <w:ilvl w:val="0"/>
          <w:numId w:val="2"/>
        </w:numPr>
        <w:jc w:val="both"/>
        <w:rPr/>
      </w:pPr>
      <w:r>
        <w:rPr>
          <w:b/>
          <w:bCs/>
        </w:rPr>
        <w:t>Copy function</w:t>
      </w:r>
    </w:p>
    <w:p>
      <w:pPr>
        <w:pStyle w:val="Normal"/>
        <w:ind w:start="720" w:end="0"/>
        <w:jc w:val="both"/>
        <w:rPr/>
      </w:pPr>
      <w:r>
        <w:rPr/>
        <w:t xml:space="preserve">This function copies the last nomination in place for a specific gas day to a future day or a range of days.  The nomination that is retrieved is the nomination the user copied to.  The nomination is copied but </w:t>
      </w:r>
      <w:r>
        <w:rPr>
          <w:b/>
          <w:bCs/>
          <w:i/>
          <w:iCs/>
        </w:rPr>
        <w:t>not saved</w:t>
      </w:r>
      <w:r>
        <w:rPr/>
        <w:t xml:space="preserve"> the user can either save or make changes and save when completed.</w:t>
      </w:r>
    </w:p>
    <w:p>
      <w:pPr>
        <w:pStyle w:val="Normal"/>
        <w:ind w:start="720" w:end="0"/>
        <w:jc w:val="both"/>
        <w:rPr/>
      </w:pPr>
      <w:r>
        <w:rPr/>
      </w:r>
    </w:p>
    <w:p>
      <w:pPr>
        <w:pStyle w:val="Normal"/>
        <w:numPr>
          <w:ilvl w:val="0"/>
          <w:numId w:val="3"/>
        </w:numPr>
        <w:jc w:val="both"/>
        <w:rPr>
          <w:b/>
          <w:bCs/>
        </w:rPr>
      </w:pPr>
      <w:r>
        <w:rPr>
          <w:b/>
          <w:bCs/>
        </w:rPr>
        <w:t xml:space="preserve">Menu Bar Selections </w:t>
      </w:r>
    </w:p>
    <w:p>
      <w:pPr>
        <w:pStyle w:val="Normal"/>
        <w:ind w:start="720" w:end="0"/>
        <w:jc w:val="both"/>
        <w:rPr/>
      </w:pPr>
      <w:r>
        <w:rPr/>
        <w:t xml:space="preserve">The menu bar selection on top of screen gives detail on all the available Hot Keys.  The </w:t>
      </w:r>
      <w:r>
        <w:rPr>
          <w:b/>
          <w:bCs/>
          <w:i/>
          <w:iCs/>
        </w:rPr>
        <w:t>“option”</w:t>
      </w:r>
      <w:r>
        <w:rPr/>
        <w:t xml:space="preserve"> selection in the menu bar gives the user the ability to select to view information by location names, location number or DRN numbers</w:t>
      </w:r>
      <w:r>
        <w:rPr>
          <w:b/>
          <w:bCs/>
        </w:rPr>
        <w:t>.</w:t>
      </w:r>
    </w:p>
    <w:p>
      <w:pPr>
        <w:pStyle w:val="Normal"/>
        <w:ind w:start="720" w:end="0"/>
        <w:jc w:val="both"/>
        <w:rPr>
          <w:b/>
          <w:bCs/>
        </w:rPr>
      </w:pPr>
      <w:r>
        <w:rPr>
          <w:b/>
          <w:bCs/>
        </w:rPr>
      </w:r>
    </w:p>
    <w:p>
      <w:pPr>
        <w:pStyle w:val="Normal"/>
        <w:numPr>
          <w:ilvl w:val="0"/>
          <w:numId w:val="5"/>
        </w:numPr>
        <w:ind w:hanging="360" w:start="360" w:end="0"/>
        <w:rPr/>
      </w:pPr>
      <w:r>
        <w:rPr>
          <w:b/>
        </w:rPr>
        <w:t>Icon Features</w:t>
      </w:r>
    </w:p>
    <w:p>
      <w:pPr>
        <w:pStyle w:val="Normal"/>
        <w:numPr>
          <w:ilvl w:val="0"/>
          <w:numId w:val="0"/>
        </w:numPr>
        <w:ind w:hanging="360" w:start="1080" w:end="0"/>
        <w:rPr>
          <w:b/>
          <w:bCs/>
        </w:rPr>
      </w:pPr>
      <w:r>
        <w:rPr>
          <w:b/>
          <w:bCs/>
          <w:i/>
          <w:iCs/>
        </w:rPr>
        <w:t>Receipt &amp; Delivery total</w:t>
      </w:r>
      <w:r>
        <w:rPr>
          <w:b/>
          <w:bCs/>
        </w:rPr>
        <w:t xml:space="preserve">s </w:t>
      </w:r>
      <w:r>
        <w:rPr/>
        <w:t>feature provides totals by point for specific contract and gas day</w:t>
      </w:r>
    </w:p>
    <w:p>
      <w:pPr>
        <w:pStyle w:val="Normal"/>
        <w:ind w:start="720" w:end="0"/>
        <w:rPr>
          <w:b/>
          <w:i/>
          <w:i/>
          <w:iCs/>
        </w:rPr>
      </w:pPr>
      <w:r>
        <w:rPr>
          <w:b/>
          <w:bCs/>
          <w:i/>
          <w:iCs/>
        </w:rPr>
        <w:t xml:space="preserve">Rates </w:t>
      </w:r>
      <w:r>
        <w:rPr/>
        <w:t xml:space="preserve">Commodity Path rate information can be viewed for the contract nomination path detail line that you have highlighted in the data display area.  </w:t>
      </w:r>
    </w:p>
    <w:p>
      <w:pPr>
        <w:pStyle w:val="Normal"/>
        <w:ind w:start="720" w:end="0"/>
        <w:rPr/>
      </w:pPr>
      <w:r>
        <w:rPr>
          <w:b/>
          <w:i/>
          <w:iCs/>
        </w:rPr>
        <w:t>Sort</w:t>
      </w:r>
      <w:r>
        <w:rPr>
          <w:bCs/>
          <w:i/>
          <w:iCs/>
        </w:rPr>
        <w:t xml:space="preserve"> </w:t>
      </w:r>
      <w:r>
        <w:rPr>
          <w:bCs/>
        </w:rPr>
        <w:t>feature will sort information by selecting from a sort table.  Other sort features throughout TMS are accomplished by clicking on the column heading or a right click on matrix area.</w:t>
      </w:r>
    </w:p>
    <w:p>
      <w:pPr>
        <w:pStyle w:val="Normal"/>
        <w:ind w:start="720" w:end="0"/>
        <w:rPr/>
      </w:pPr>
      <w:r>
        <w:rPr>
          <w:b/>
          <w:i/>
          <w:iCs/>
        </w:rPr>
        <w:t xml:space="preserve">Print &amp; Print Preview </w:t>
      </w:r>
      <w:r>
        <w:rPr>
          <w:bCs/>
        </w:rPr>
        <w:t>icons</w:t>
      </w:r>
      <w:r>
        <w:rPr>
          <w:bCs/>
          <w:i/>
          <w:iCs/>
        </w:rPr>
        <w:t xml:space="preserve"> </w:t>
      </w:r>
    </w:p>
    <w:p>
      <w:pPr>
        <w:pStyle w:val="Normal"/>
        <w:ind w:start="720" w:end="-1800"/>
        <w:rPr/>
      </w:pPr>
      <w:r>
        <w:rPr>
          <w:b/>
          <w:i/>
          <w:iCs/>
        </w:rPr>
        <w:t>Export</w:t>
      </w:r>
      <w:r>
        <w:rPr>
          <w:b/>
        </w:rPr>
        <w:t xml:space="preserve"> </w:t>
      </w:r>
      <w:r>
        <w:rPr>
          <w:bCs/>
        </w:rPr>
        <w:t>feature gives the user the ability to export data to excel, access or lotus spreadsheet</w:t>
      </w:r>
    </w:p>
    <w:p>
      <w:pPr>
        <w:pStyle w:val="Normal"/>
        <w:ind w:start="720" w:end="-1800"/>
        <w:rPr/>
      </w:pPr>
      <w:r>
        <w:rPr>
          <w:b/>
          <w:i/>
          <w:iCs/>
        </w:rPr>
        <w:t xml:space="preserve">Submit </w:t>
      </w:r>
      <w:r>
        <w:rPr>
          <w:bCs/>
        </w:rPr>
        <w:t>icon saves nomination</w:t>
      </w:r>
    </w:p>
    <w:p>
      <w:pPr>
        <w:pStyle w:val="Normal"/>
        <w:ind w:start="720" w:end="0"/>
        <w:rPr/>
      </w:pPr>
      <w:r>
        <w:rPr>
          <w:b/>
          <w:i/>
          <w:iCs/>
        </w:rPr>
        <w:t xml:space="preserve">Delete </w:t>
      </w:r>
      <w:r>
        <w:rPr>
          <w:bCs/>
        </w:rPr>
        <w:t>icon</w:t>
      </w:r>
      <w:r>
        <w:rPr>
          <w:b/>
        </w:rPr>
        <w:t xml:space="preserve"> </w:t>
      </w:r>
      <w:r>
        <w:rPr>
          <w:bCs/>
        </w:rPr>
        <w:t>can delete a line item if not scheduled before nomination deadline</w:t>
      </w:r>
    </w:p>
    <w:p>
      <w:pPr>
        <w:pStyle w:val="Normal"/>
        <w:ind w:start="720" w:end="0"/>
        <w:rPr>
          <w:bCs/>
        </w:rPr>
      </w:pPr>
      <w:r>
        <w:rPr>
          <w:bCs/>
        </w:rPr>
      </w:r>
    </w:p>
    <w:p>
      <w:pPr>
        <w:pStyle w:val="Normal"/>
        <w:numPr>
          <w:ilvl w:val="0"/>
          <w:numId w:val="3"/>
        </w:numPr>
        <w:rPr>
          <w:b/>
          <w:bCs/>
        </w:rPr>
      </w:pPr>
      <w:r>
        <w:rPr>
          <w:b/>
          <w:bCs/>
        </w:rPr>
        <w:t>Right Click Search Option</w:t>
      </w:r>
    </w:p>
    <w:p>
      <w:pPr>
        <w:pStyle w:val="Heading2"/>
        <w:rPr>
          <w:sz w:val="20"/>
        </w:rPr>
      </w:pPr>
      <w:r>
        <w:rPr>
          <w:sz w:val="20"/>
        </w:rPr>
        <w:t>This option is available in most TMS screens by right clicking on the location and the Up/Dn contract field on form area.</w:t>
      </w:r>
    </w:p>
    <w:p>
      <w:pPr>
        <w:pStyle w:val="Normal"/>
        <w:rPr>
          <w:sz w:val="20"/>
        </w:rPr>
      </w:pPr>
      <w:r>
        <w:rPr>
          <w:sz w:val="20"/>
        </w:rPr>
      </w:r>
    </w:p>
    <w:p>
      <w:pPr>
        <w:pStyle w:val="Normal"/>
        <w:numPr>
          <w:ilvl w:val="0"/>
          <w:numId w:val="3"/>
        </w:numPr>
        <w:rPr>
          <w:b/>
          <w:bCs/>
        </w:rPr>
      </w:pPr>
      <w:r>
        <w:rPr>
          <w:b/>
          <w:bCs/>
        </w:rPr>
        <w:t>Group/Sort Function</w:t>
      </w:r>
    </w:p>
    <w:p>
      <w:pPr>
        <w:pStyle w:val="Normal"/>
        <w:ind w:start="720" w:end="0"/>
        <w:rPr/>
      </w:pPr>
      <w:r>
        <w:rPr/>
        <w:t>Right mouse click on the matrix area of the Nomination Maintenance screen</w:t>
      </w:r>
      <w:r>
        <w:rPr>
          <w:b/>
          <w:bCs/>
        </w:rPr>
        <w:t xml:space="preserve">.  </w:t>
      </w:r>
      <w:r>
        <w:rPr/>
        <w:t>This tool will provide user with the following options:</w:t>
      </w:r>
    </w:p>
    <w:p>
      <w:pPr>
        <w:pStyle w:val="Normal"/>
        <w:ind w:start="720" w:end="0"/>
        <w:rPr/>
      </w:pPr>
      <w:r>
        <w:rPr>
          <w:b/>
          <w:bCs/>
          <w:i/>
          <w:iCs/>
        </w:rPr>
        <w:t>Sort</w:t>
      </w:r>
      <w:r>
        <w:rPr/>
        <w:t xml:space="preserve"> – This will sort information by selecting column headings listed in the Sort Criteria View.</w:t>
      </w:r>
    </w:p>
    <w:p>
      <w:pPr>
        <w:pStyle w:val="Normal"/>
        <w:ind w:start="720" w:end="0"/>
        <w:rPr/>
      </w:pPr>
      <w:r>
        <w:rPr>
          <w:b/>
          <w:bCs/>
          <w:i/>
          <w:iCs/>
        </w:rPr>
        <w:t>Group</w:t>
      </w:r>
      <w:r>
        <w:rPr/>
        <w:t xml:space="preserve"> – This will group and sub total information by selecting column headings listed in the Group/Subtotal Criteria View.   </w:t>
        <w:tab/>
      </w:r>
    </w:p>
    <w:p>
      <w:pPr>
        <w:pStyle w:val="Normal"/>
        <w:numPr>
          <w:ilvl w:val="0"/>
          <w:numId w:val="0"/>
        </w:numPr>
        <w:ind w:hanging="360" w:start="1080" w:end="0"/>
        <w:rPr/>
      </w:pPr>
      <w:r>
        <w:rPr/>
      </w:r>
    </w:p>
    <w:p>
      <w:pPr>
        <w:pStyle w:val="Normal"/>
        <w:numPr>
          <w:ilvl w:val="0"/>
          <w:numId w:val="5"/>
        </w:numPr>
        <w:ind w:hanging="360" w:start="360" w:end="0"/>
        <w:rPr/>
      </w:pPr>
      <w:r>
        <w:rPr>
          <w:b/>
        </w:rPr>
        <w:t>Add Button (creates a new line item</w:t>
      </w:r>
      <w:r>
        <w:rPr/>
        <w:t>)</w:t>
      </w:r>
    </w:p>
    <w:p>
      <w:pPr>
        <w:pStyle w:val="BodyTextIndent2"/>
        <w:numPr>
          <w:ilvl w:val="0"/>
          <w:numId w:val="0"/>
        </w:numPr>
        <w:ind w:hanging="0" w:start="720" w:end="0"/>
        <w:rPr/>
      </w:pPr>
      <w:r>
        <w:rPr/>
        <w:t>Create a new nomination from scratch by inputting a nom on the form area and pressing the create button.  Create by using an existing path and changing a key field (*).</w:t>
      </w:r>
    </w:p>
    <w:p>
      <w:pPr>
        <w:pStyle w:val="Normal"/>
        <w:ind w:start="720" w:end="0"/>
        <w:rPr>
          <w:u w:val="single"/>
        </w:rPr>
      </w:pPr>
      <w:r>
        <w:rPr>
          <w:u w:val="single"/>
        </w:rPr>
      </w:r>
    </w:p>
    <w:p>
      <w:pPr>
        <w:pStyle w:val="Normal"/>
        <w:numPr>
          <w:ilvl w:val="0"/>
          <w:numId w:val="5"/>
        </w:numPr>
        <w:ind w:hanging="360" w:start="360" w:end="0"/>
        <w:rPr>
          <w:b/>
        </w:rPr>
      </w:pPr>
      <w:r>
        <w:rPr>
          <w:b/>
        </w:rPr>
        <w:t>Change Button (replaces and existing nom)</w:t>
      </w:r>
    </w:p>
    <w:p>
      <w:pPr>
        <w:pStyle w:val="Normal"/>
        <w:numPr>
          <w:ilvl w:val="0"/>
          <w:numId w:val="0"/>
        </w:numPr>
        <w:ind w:hanging="0" w:start="720" w:end="0"/>
        <w:rPr/>
      </w:pPr>
      <w:r>
        <w:rPr>
          <w:b/>
          <w:bCs/>
          <w:i/>
          <w:iCs/>
          <w:u w:val="single"/>
        </w:rPr>
        <w:t>Scenario 1</w:t>
      </w:r>
      <w:r>
        <w:rPr/>
        <w:t xml:space="preserve"> -</w:t>
      </w:r>
      <w:r>
        <w:rPr>
          <w:b/>
        </w:rPr>
        <w:t xml:space="preserve"> Prior to start of gas day</w:t>
      </w:r>
      <w:r>
        <w:rPr/>
        <w:t xml:space="preserve"> - highlight path and change Up K# and quantity, hit replace and the path will show replaced data.</w:t>
      </w:r>
    </w:p>
    <w:p>
      <w:pPr>
        <w:pStyle w:val="Normal"/>
        <w:numPr>
          <w:ilvl w:val="0"/>
          <w:numId w:val="0"/>
        </w:numPr>
        <w:ind w:hanging="0" w:start="720" w:end="0"/>
        <w:rPr/>
      </w:pPr>
      <w:r>
        <w:rPr>
          <w:b/>
          <w:bCs/>
          <w:i/>
          <w:iCs/>
          <w:u w:val="single"/>
        </w:rPr>
        <w:t>Scenario 2</w:t>
      </w:r>
      <w:r>
        <w:rPr/>
        <w:t xml:space="preserve"> -</w:t>
      </w:r>
      <w:r>
        <w:rPr>
          <w:b/>
        </w:rPr>
        <w:t xml:space="preserve"> Prior to start of gas day</w:t>
      </w:r>
      <w:r>
        <w:rPr/>
        <w:t xml:space="preserve"> -highlight a path and do a date range change, Up K#, and package ID change and hit replace, this will replace data for date range.</w:t>
      </w:r>
    </w:p>
    <w:p>
      <w:pPr>
        <w:pStyle w:val="Normal"/>
        <w:numPr>
          <w:ilvl w:val="0"/>
          <w:numId w:val="0"/>
        </w:numPr>
        <w:ind w:hanging="0" w:start="720" w:end="0"/>
        <w:rPr/>
      </w:pPr>
      <w:r>
        <w:rPr>
          <w:b/>
          <w:bCs/>
          <w:i/>
          <w:iCs/>
          <w:u w:val="single"/>
        </w:rPr>
        <w:t>Scenario 3</w:t>
      </w:r>
      <w:r>
        <w:rPr/>
        <w:t xml:space="preserve"> - </w:t>
      </w:r>
      <w:r>
        <w:rPr>
          <w:b/>
        </w:rPr>
        <w:t xml:space="preserve">Intraday </w:t>
      </w:r>
      <w:r>
        <w:rPr/>
        <w:t>- After start of gas day - demo difference of split and how you get a path with zero nom for one day, new nom for one day, and rest of nom for rest of month.</w:t>
      </w:r>
    </w:p>
    <w:p>
      <w:pPr>
        <w:pStyle w:val="Normal"/>
        <w:numPr>
          <w:ilvl w:val="0"/>
          <w:numId w:val="0"/>
        </w:numPr>
        <w:ind w:hanging="360" w:start="1080" w:end="0"/>
        <w:rPr/>
      </w:pPr>
      <w:r>
        <w:rPr/>
      </w:r>
    </w:p>
    <w:p>
      <w:pPr>
        <w:pStyle w:val="Normal"/>
        <w:numPr>
          <w:ilvl w:val="0"/>
          <w:numId w:val="3"/>
        </w:numPr>
        <w:ind w:hanging="360" w:start="360" w:end="-720"/>
        <w:rPr/>
      </w:pPr>
      <w:r>
        <w:rPr>
          <w:b/>
        </w:rPr>
        <w:t xml:space="preserve">Pool nomination (New Feature)  </w:t>
      </w:r>
      <w:r>
        <w:rPr/>
        <w:t xml:space="preserve">The </w:t>
      </w:r>
      <w:r>
        <w:rPr>
          <w:b/>
          <w:bCs/>
          <w:i/>
          <w:iCs/>
        </w:rPr>
        <w:t>“View All”</w:t>
      </w:r>
      <w:r>
        <w:rPr/>
        <w:t xml:space="preserve"> icon for a pool contract provides the user the ability to view all nominations for a specific contract and a for a specific gas day.</w:t>
      </w:r>
      <w:r>
        <w:br w:type="page"/>
      </w:r>
    </w:p>
    <w:p>
      <w:pPr>
        <w:pStyle w:val="Normal"/>
        <w:numPr>
          <w:ilvl w:val="0"/>
          <w:numId w:val="0"/>
        </w:numPr>
        <w:ind w:hanging="360" w:start="360" w:end="0"/>
        <w:rPr>
          <w:b/>
        </w:rPr>
      </w:pPr>
      <w:r>
        <w:rPr>
          <w:b/>
        </w:rPr>
      </w:r>
    </w:p>
    <w:p>
      <w:pPr>
        <w:pStyle w:val="Normal"/>
        <w:rPr>
          <w:b/>
          <w:color w:val="0000FF"/>
          <w:sz w:val="28"/>
        </w:rPr>
      </w:pPr>
      <w:r>
        <w:rPr>
          <w:b/>
          <w:color w:val="0000FF"/>
          <w:sz w:val="28"/>
          <w:u w:val="single"/>
        </w:rPr>
        <w:t xml:space="preserve"> </w:t>
      </w:r>
      <w:r>
        <w:rPr>
          <w:b/>
          <w:color w:val="0000FF"/>
          <w:sz w:val="28"/>
          <w:u w:val="single"/>
        </w:rPr>
        <w:t>Nom Reconciliation Screen</w:t>
      </w:r>
    </w:p>
    <w:p>
      <w:pPr>
        <w:pStyle w:val="Normal"/>
        <w:rPr>
          <w:b/>
          <w:color w:val="0000FF"/>
          <w:sz w:val="28"/>
        </w:rPr>
      </w:pPr>
      <w:r>
        <w:rPr>
          <w:b/>
          <w:color w:val="0000FF"/>
          <w:sz w:val="28"/>
        </w:rPr>
      </w:r>
    </w:p>
    <w:p>
      <w:pPr>
        <w:pStyle w:val="Normal"/>
        <w:numPr>
          <w:ilvl w:val="0"/>
          <w:numId w:val="0"/>
        </w:numPr>
        <w:ind w:hanging="0" w:start="720" w:end="0"/>
        <w:rPr>
          <w:b/>
        </w:rPr>
      </w:pPr>
      <w:r>
        <w:rPr>
          <w:b/>
        </w:rPr>
      </w:r>
    </w:p>
    <w:p>
      <w:pPr>
        <w:pStyle w:val="body1"/>
        <w:rPr/>
      </w:pPr>
      <w:r>
        <w:rPr>
          <w:rFonts w:cs="Times New Roman" w:ascii="Times New Roman" w:hAnsi="Times New Roman"/>
          <w:sz w:val="20"/>
        </w:rPr>
        <w:t>The Nomination Reconciliation screen is located under the nomination option on the TMS menu bar.  The purpose of the Nomination Reconciliation</w:t>
      </w:r>
      <w:r>
        <w:rPr>
          <w:rFonts w:cs="Times New Roman" w:ascii="Times New Roman" w:hAnsi="Times New Roman"/>
          <w:b/>
          <w:sz w:val="20"/>
        </w:rPr>
        <w:t xml:space="preserve"> </w:t>
      </w:r>
      <w:r>
        <w:rPr>
          <w:rFonts w:cs="Times New Roman" w:ascii="Times New Roman" w:hAnsi="Times New Roman"/>
          <w:sz w:val="20"/>
        </w:rPr>
        <w:t>screen is to identify mismatches between upstream and downstream contracts enabling you to correct nominations prior to the nomination deadline and confirmation.  This allows time to adjust nominations or request confirmation changes prior to the Intraday nomination timelines.  It is a view only screen that accesses the following information:</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Nomination quantities by cycle</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Confirmation of nominated quantities in comparison to quantities at physical locations</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Scheduled quantities by cycle</w:t>
      </w:r>
    </w:p>
    <w:p>
      <w:pPr>
        <w:pStyle w:val="box-b3"/>
        <w:numPr>
          <w:ilvl w:val="0"/>
          <w:numId w:val="4"/>
        </w:numPr>
        <w:ind w:hanging="0" w:start="0"/>
        <w:rPr>
          <w:rFonts w:ascii="Times New Roman" w:hAnsi="Times New Roman" w:cs="Times New Roman"/>
          <w:sz w:val="20"/>
        </w:rPr>
      </w:pPr>
      <w:r>
        <w:rPr>
          <w:rFonts w:cs="Times New Roman" w:ascii="Times New Roman" w:hAnsi="Times New Roman"/>
          <w:sz w:val="20"/>
        </w:rPr>
        <w:t>Comparison of upstream vs. downstream nominations at logical points</w:t>
      </w:r>
    </w:p>
    <w:p>
      <w:pPr>
        <w:pStyle w:val="box-b3"/>
        <w:numPr>
          <w:ilvl w:val="0"/>
          <w:numId w:val="0"/>
        </w:numPr>
        <w:ind w:hanging="0" w:start="432" w:end="0"/>
        <w:rPr>
          <w:rFonts w:ascii="Times New Roman" w:hAnsi="Times New Roman" w:cs="Times New Roman"/>
          <w:sz w:val="20"/>
        </w:rPr>
      </w:pPr>
      <w:r>
        <w:rPr>
          <w:rFonts w:cs="Times New Roman" w:ascii="Times New Roman" w:hAnsi="Times New Roman"/>
          <w:sz w:val="20"/>
        </w:rPr>
      </w:r>
    </w:p>
    <w:p>
      <w:pPr>
        <w:pStyle w:val="body1"/>
        <w:rPr/>
      </w:pPr>
      <w:r>
        <w:rPr>
          <w:rFonts w:cs="Times New Roman" w:ascii="Times New Roman" w:hAnsi="Times New Roman"/>
          <w:sz w:val="20"/>
        </w:rPr>
        <w:t xml:space="preserve">The </w:t>
      </w:r>
      <w:r>
        <w:rPr>
          <w:rFonts w:cs="Times New Roman" w:ascii="Times New Roman" w:hAnsi="Times New Roman"/>
          <w:i/>
          <w:sz w:val="20"/>
        </w:rPr>
        <w:t>View</w:t>
      </w:r>
      <w:r>
        <w:rPr>
          <w:rFonts w:cs="Times New Roman" w:ascii="Times New Roman" w:hAnsi="Times New Roman"/>
          <w:sz w:val="20"/>
        </w:rPr>
        <w:t xml:space="preserve"> field provides views of exceptions based on your nomination and the confirmation with the upstream or downstream party and between your nomination and your scheduled quantities.</w:t>
      </w:r>
    </w:p>
    <w:p>
      <w:pPr>
        <w:pStyle w:val="body1"/>
        <w:rPr>
          <w:rFonts w:ascii="Times New Roman" w:hAnsi="Times New Roman" w:cs="Times New Roman"/>
          <w:sz w:val="20"/>
        </w:rPr>
      </w:pPr>
      <w:r>
        <w:rPr>
          <w:rFonts w:cs="Times New Roman" w:ascii="Times New Roman" w:hAnsi="Times New Roman"/>
          <w:sz w:val="20"/>
        </w:rPr>
        <w:t xml:space="preserve"> </w:t>
      </w:r>
    </w:p>
    <w:p>
      <w:pPr>
        <w:pStyle w:val="Normal"/>
        <w:numPr>
          <w:ilvl w:val="0"/>
          <w:numId w:val="0"/>
        </w:numPr>
        <w:ind w:hanging="0" w:start="0"/>
        <w:rPr/>
      </w:pPr>
      <w:r>
        <w:rPr/>
        <w:t>We encourage you to use the Nomination Reconciliation</w:t>
      </w:r>
      <w:r>
        <w:rPr>
          <w:b/>
        </w:rPr>
        <w:t xml:space="preserve"> </w:t>
      </w:r>
      <w:r>
        <w:rPr/>
        <w:t>screen as a tool to identify mismatches.  Whereas nomination confirmation mismatches are available prior to and during each process, scheduled exceptions can be viewed at the end of each cycle.</w:t>
      </w:r>
      <w:r>
        <w:br w:type="page"/>
      </w:r>
    </w:p>
    <w:p>
      <w:pPr>
        <w:pStyle w:val="Normal"/>
        <w:rPr/>
      </w:pPr>
      <w:r>
        <w:rPr/>
      </w:r>
    </w:p>
    <w:p>
      <w:pPr>
        <w:pStyle w:val="Normal"/>
        <w:rPr>
          <w:color w:val="0000FF"/>
          <w:sz w:val="28"/>
        </w:rPr>
      </w:pPr>
      <w:r>
        <w:rPr>
          <w:b/>
          <w:bCs/>
          <w:color w:val="0000FF"/>
          <w:sz w:val="28"/>
          <w:u w:val="single"/>
        </w:rPr>
        <w:t>EDI Quick Response</w:t>
      </w:r>
    </w:p>
    <w:p>
      <w:pPr>
        <w:pStyle w:val="Normal"/>
        <w:rPr>
          <w:b/>
          <w:bCs/>
          <w:color w:val="0000FF"/>
          <w:sz w:val="28"/>
          <w:u w:val="single"/>
        </w:rPr>
      </w:pPr>
      <w:r>
        <w:rPr>
          <w:b/>
          <w:bCs/>
          <w:color w:val="0000FF"/>
          <w:sz w:val="28"/>
          <w:u w:val="single"/>
        </w:rPr>
      </w:r>
    </w:p>
    <w:p>
      <w:pPr>
        <w:pStyle w:val="Normal"/>
        <w:ind w:start="720" w:end="0"/>
        <w:rPr/>
      </w:pPr>
      <w:r>
        <w:rPr/>
        <w:t>This tool displays the same information sent to the EDI customer in an EDI nomination Quick Response.  Below is the list of the various quick response messages.  To view detail on the messages, highlight the line showing the tracking number, warning or error code and a detail warning/error message will appear at the bottom of the Quick Response screen.</w:t>
      </w:r>
    </w:p>
    <w:p>
      <w:pPr>
        <w:pStyle w:val="Normal"/>
        <w:ind w:start="720" w:end="0"/>
        <w:rPr/>
      </w:pPr>
      <w:r>
        <w:rPr/>
      </w:r>
    </w:p>
    <w:p>
      <w:pPr>
        <w:pStyle w:val="Normal"/>
        <w:ind w:start="720" w:end="0"/>
        <w:rPr/>
      </w:pPr>
      <w:r>
        <w:rPr/>
        <w:t>AT</w:t>
        <w:tab/>
        <w:t>Accepted Transaction - Contract accepted with no errors or warnings</w:t>
      </w:r>
    </w:p>
    <w:p>
      <w:pPr>
        <w:pStyle w:val="Normal"/>
        <w:ind w:start="720" w:end="0"/>
        <w:rPr/>
      </w:pPr>
      <w:r>
        <w:rPr/>
        <w:t>AE</w:t>
        <w:tab/>
        <w:t>Acknowledged with errors - File contains line items with errors and these</w:t>
      </w:r>
    </w:p>
    <w:p>
      <w:pPr>
        <w:pStyle w:val="Normal"/>
        <w:ind w:start="720" w:end="0"/>
        <w:rPr/>
      </w:pPr>
      <w:r>
        <w:rPr/>
        <w:tab/>
        <w:t>line items were rejected.</w:t>
      </w:r>
    </w:p>
    <w:p>
      <w:pPr>
        <w:pStyle w:val="Normal"/>
        <w:ind w:start="720" w:end="0"/>
        <w:rPr/>
      </w:pPr>
      <w:r>
        <w:rPr/>
        <w:t>AW</w:t>
        <w:tab/>
        <w:t xml:space="preserve">Acknowledged with Warnings - File contains line items with warnings but </w:t>
      </w:r>
    </w:p>
    <w:p>
      <w:pPr>
        <w:pStyle w:val="Normal"/>
        <w:ind w:firstLine="720" w:start="720" w:end="0"/>
        <w:rPr/>
      </w:pPr>
      <w:r>
        <w:rPr/>
        <w:t xml:space="preserve"> </w:t>
      </w:r>
      <w:r>
        <w:rPr/>
        <w:t xml:space="preserve">the file is not rejected. </w:t>
      </w:r>
    </w:p>
    <w:p>
      <w:pPr>
        <w:pStyle w:val="Normal"/>
        <w:ind w:start="720" w:end="0"/>
        <w:rPr/>
      </w:pPr>
      <w:r>
        <w:rPr/>
        <w:t>RD</w:t>
        <w:tab/>
        <w:t>Rejected - The entire contract is rejected.</w:t>
      </w:r>
    </w:p>
    <w:p>
      <w:pPr>
        <w:pStyle w:val="Normal"/>
        <w:ind w:start="360" w:end="0"/>
        <w:rPr/>
      </w:pPr>
      <w:r>
        <w:rPr/>
      </w:r>
    </w:p>
    <w:p>
      <w:pPr>
        <w:pStyle w:val="Normal"/>
        <w:rPr/>
      </w:pPr>
      <w:r>
        <w:rPr/>
      </w:r>
    </w:p>
    <w:p>
      <w:pPr>
        <w:pStyle w:val="Normal"/>
        <w:numPr>
          <w:ilvl w:val="0"/>
          <w:numId w:val="0"/>
        </w:numPr>
        <w:ind w:hanging="0" w:start="720" w:end="0"/>
        <w:rPr/>
      </w:pPr>
      <w:r>
        <w:rPr/>
      </w:r>
    </w:p>
    <w:p>
      <w:pPr>
        <w:pStyle w:val="Normal"/>
        <w:numPr>
          <w:ilvl w:val="0"/>
          <w:numId w:val="0"/>
        </w:numPr>
        <w:ind w:hanging="360" w:start="360" w:end="0"/>
        <w:rPr>
          <w:b/>
        </w:rPr>
      </w:pPr>
      <w:r>
        <w:rPr>
          <w:b/>
        </w:rPr>
      </w:r>
      <w:r>
        <w:br w:type="page"/>
      </w:r>
    </w:p>
    <w:p>
      <w:pPr>
        <w:pStyle w:val="Normal"/>
        <w:numPr>
          <w:ilvl w:val="0"/>
          <w:numId w:val="0"/>
        </w:numPr>
        <w:ind w:hanging="360" w:start="360" w:end="0"/>
        <w:rPr>
          <w:b/>
          <w:bCs/>
          <w:color w:val="0000FF"/>
          <w:sz w:val="28"/>
        </w:rPr>
      </w:pPr>
      <w:r>
        <w:rPr>
          <w:b/>
          <w:bCs/>
          <w:color w:val="0000FF"/>
          <w:sz w:val="28"/>
        </w:rPr>
      </w:r>
    </w:p>
    <w:p>
      <w:pPr>
        <w:pStyle w:val="Normal"/>
        <w:rPr>
          <w:u w:val="single"/>
        </w:rPr>
      </w:pPr>
      <w:r>
        <w:rPr>
          <w:b/>
          <w:bCs/>
          <w:color w:val="0000FF"/>
          <w:sz w:val="28"/>
          <w:u w:val="single"/>
        </w:rPr>
        <w:t>Scheduled Quantities</w:t>
      </w:r>
      <w:r>
        <w:rPr>
          <w:color w:val="0000FF"/>
          <w:u w:val="single"/>
        </w:rPr>
        <w:t xml:space="preserve">  </w:t>
      </w:r>
    </w:p>
    <w:p>
      <w:pPr>
        <w:pStyle w:val="Header"/>
        <w:tabs>
          <w:tab w:val="clear" w:pos="4320"/>
          <w:tab w:val="clear" w:pos="8640"/>
        </w:tabs>
        <w:rPr>
          <w:u w:val="single"/>
        </w:rPr>
      </w:pPr>
      <w:r>
        <w:rPr>
          <w:u w:val="single"/>
        </w:rPr>
      </w:r>
    </w:p>
    <w:p>
      <w:pPr>
        <w:pStyle w:val="Normal"/>
        <w:numPr>
          <w:ilvl w:val="0"/>
          <w:numId w:val="5"/>
        </w:numPr>
        <w:ind w:hanging="360" w:start="360" w:end="0"/>
        <w:rPr>
          <w:b/>
          <w:bCs/>
        </w:rPr>
      </w:pPr>
      <w:r>
        <w:rPr>
          <w:b/>
          <w:bCs/>
        </w:rPr>
        <w:t>Open screen</w:t>
      </w:r>
    </w:p>
    <w:p>
      <w:pPr>
        <w:pStyle w:val="Normal"/>
        <w:numPr>
          <w:ilvl w:val="0"/>
          <w:numId w:val="0"/>
        </w:numPr>
        <w:ind w:hanging="0" w:start="720" w:end="0"/>
        <w:jc w:val="both"/>
        <w:rPr/>
      </w:pPr>
      <w:r>
        <w:rPr/>
        <w:t xml:space="preserve">On the open box user can key a contract number or </w:t>
      </w:r>
      <w:r>
        <w:rPr>
          <w:b/>
          <w:bCs/>
          <w:i/>
          <w:iCs/>
        </w:rPr>
        <w:t>right click</w:t>
      </w:r>
      <w:r>
        <w:rPr/>
        <w:t xml:space="preserve"> on the contract field and select the desired search option:</w:t>
      </w:r>
    </w:p>
    <w:p>
      <w:pPr>
        <w:pStyle w:val="Normal"/>
        <w:numPr>
          <w:ilvl w:val="0"/>
          <w:numId w:val="0"/>
        </w:numPr>
        <w:ind w:hanging="0" w:start="720" w:end="0"/>
        <w:jc w:val="both"/>
        <w:rPr>
          <w:b/>
        </w:rPr>
      </w:pPr>
      <w:r>
        <w:rPr/>
        <w:t xml:space="preserve"> </w:t>
      </w:r>
      <w:r>
        <w:rPr>
          <w:b/>
          <w:i/>
          <w:iCs/>
        </w:rPr>
        <w:t xml:space="preserve">Name Begins With </w:t>
      </w:r>
      <w:r>
        <w:rPr>
          <w:bCs/>
        </w:rPr>
        <w:t>will provide the user all available contracts for user ID</w:t>
      </w:r>
    </w:p>
    <w:p>
      <w:pPr>
        <w:pStyle w:val="Normal"/>
        <w:numPr>
          <w:ilvl w:val="0"/>
          <w:numId w:val="0"/>
        </w:numPr>
        <w:ind w:hanging="0" w:start="720" w:end="0"/>
        <w:jc w:val="both"/>
        <w:rPr>
          <w:b/>
          <w:i/>
          <w:i/>
          <w:iCs/>
        </w:rPr>
      </w:pPr>
      <w:r>
        <w:rPr>
          <w:b/>
          <w:i/>
          <w:iCs/>
        </w:rPr>
        <w:t xml:space="preserve">Name Contains </w:t>
      </w:r>
      <w:r>
        <w:rPr>
          <w:bCs/>
        </w:rPr>
        <w:t>will provide the user all available contracts for user ID</w:t>
      </w:r>
    </w:p>
    <w:p>
      <w:pPr>
        <w:pStyle w:val="Normal"/>
        <w:numPr>
          <w:ilvl w:val="0"/>
          <w:numId w:val="0"/>
        </w:numPr>
        <w:ind w:hanging="0" w:start="720" w:end="0"/>
        <w:jc w:val="both"/>
        <w:rPr/>
      </w:pPr>
      <w:r>
        <w:rPr>
          <w:b/>
          <w:i/>
          <w:iCs/>
        </w:rPr>
        <w:t xml:space="preserve">Svc Req K </w:t>
      </w:r>
      <w:r>
        <w:rPr>
          <w:bCs/>
        </w:rPr>
        <w:t>will provide the user all available contracts for user ID</w:t>
      </w:r>
    </w:p>
    <w:p>
      <w:pPr>
        <w:pStyle w:val="Normal"/>
        <w:numPr>
          <w:ilvl w:val="0"/>
          <w:numId w:val="0"/>
        </w:numPr>
        <w:ind w:hanging="0" w:start="720" w:end="0"/>
        <w:jc w:val="both"/>
        <w:rPr/>
      </w:pPr>
      <w:r>
        <w:rPr>
          <w:b/>
          <w:i/>
          <w:iCs/>
        </w:rPr>
        <w:t xml:space="preserve">Cycle </w:t>
      </w:r>
      <w:r>
        <w:rPr>
          <w:bCs/>
        </w:rPr>
        <w:t>drop down list provides the user the ability to select schedule quantity by cycle.</w:t>
      </w:r>
    </w:p>
    <w:p>
      <w:pPr>
        <w:pStyle w:val="Normal"/>
        <w:numPr>
          <w:ilvl w:val="0"/>
          <w:numId w:val="0"/>
        </w:numPr>
        <w:ind w:hanging="0" w:start="720" w:end="0"/>
        <w:jc w:val="both"/>
        <w:rPr>
          <w:bCs/>
        </w:rPr>
      </w:pPr>
      <w:r>
        <w:rPr>
          <w:bCs/>
        </w:rPr>
      </w:r>
    </w:p>
    <w:p>
      <w:pPr>
        <w:pStyle w:val="Normal"/>
        <w:numPr>
          <w:ilvl w:val="0"/>
          <w:numId w:val="0"/>
        </w:numPr>
        <w:ind w:hanging="0" w:start="720" w:end="0"/>
        <w:jc w:val="both"/>
        <w:rPr/>
      </w:pPr>
      <w:r>
        <w:rPr/>
      </w:r>
    </w:p>
    <w:p>
      <w:pPr>
        <w:pStyle w:val="Normal"/>
        <w:numPr>
          <w:ilvl w:val="0"/>
          <w:numId w:val="3"/>
        </w:numPr>
        <w:jc w:val="both"/>
        <w:rPr>
          <w:b/>
          <w:bCs/>
        </w:rPr>
      </w:pPr>
      <w:r>
        <w:rPr>
          <w:b/>
          <w:bCs/>
        </w:rPr>
        <w:t xml:space="preserve">Menu Bar Selections </w:t>
      </w:r>
    </w:p>
    <w:p>
      <w:pPr>
        <w:pStyle w:val="Normal"/>
        <w:ind w:start="720" w:end="0"/>
        <w:jc w:val="both"/>
        <w:rPr/>
      </w:pPr>
      <w:r>
        <w:rPr/>
        <w:t xml:space="preserve">Demo the menu bar selections where the Hot keys are detailed under </w:t>
      </w:r>
      <w:r>
        <w:rPr>
          <w:b/>
          <w:bCs/>
        </w:rPr>
        <w:t>“option”</w:t>
      </w:r>
      <w:r>
        <w:rPr/>
        <w:t xml:space="preserve"> selection where user can select to view information by location names, location number or DRN numbers</w:t>
      </w:r>
      <w:r>
        <w:rPr>
          <w:b/>
          <w:bCs/>
        </w:rPr>
        <w:t>.</w:t>
      </w:r>
    </w:p>
    <w:p>
      <w:pPr>
        <w:pStyle w:val="Normal"/>
        <w:ind w:start="720" w:end="0"/>
        <w:jc w:val="both"/>
        <w:rPr>
          <w:b/>
          <w:bCs/>
        </w:rPr>
      </w:pPr>
      <w:r>
        <w:rPr>
          <w:b/>
          <w:bCs/>
        </w:rPr>
      </w:r>
    </w:p>
    <w:p>
      <w:pPr>
        <w:pStyle w:val="Normal"/>
        <w:numPr>
          <w:ilvl w:val="0"/>
          <w:numId w:val="5"/>
        </w:numPr>
        <w:ind w:hanging="360" w:start="360" w:end="0"/>
        <w:rPr/>
      </w:pPr>
      <w:r>
        <w:rPr>
          <w:b/>
        </w:rPr>
        <w:t>Icon Features</w:t>
      </w:r>
    </w:p>
    <w:p>
      <w:pPr>
        <w:pStyle w:val="Normal"/>
        <w:ind w:firstLine="720" w:end="0"/>
        <w:rPr/>
      </w:pPr>
      <w:r>
        <w:rPr>
          <w:b/>
          <w:bCs/>
          <w:i/>
          <w:iCs/>
        </w:rPr>
        <w:t>Receipt &amp; Delivery total</w:t>
      </w:r>
      <w:r>
        <w:rPr/>
        <w:t xml:space="preserve"> feature provides totals by point &amp; Up/Dn Contract</w:t>
      </w:r>
    </w:p>
    <w:p>
      <w:pPr>
        <w:pStyle w:val="Normal"/>
        <w:ind w:start="720" w:end="0"/>
        <w:rPr/>
      </w:pPr>
      <w:r>
        <w:rPr>
          <w:b/>
          <w:bCs/>
          <w:i/>
          <w:iCs/>
        </w:rPr>
        <w:t xml:space="preserve">Rates </w:t>
      </w:r>
      <w:r>
        <w:rPr/>
        <w:t xml:space="preserve">Commodity Path rate information can be viewed for the contract nomination path detail line that you have highlighted in the data display area.  </w:t>
      </w:r>
    </w:p>
    <w:p>
      <w:pPr>
        <w:pStyle w:val="Normal"/>
        <w:ind w:start="720" w:end="-1800"/>
        <w:rPr/>
      </w:pPr>
      <w:r>
        <w:rPr>
          <w:b/>
          <w:i/>
          <w:iCs/>
        </w:rPr>
        <w:t>Sort</w:t>
      </w:r>
      <w:r>
        <w:rPr>
          <w:bCs/>
          <w:i/>
          <w:iCs/>
        </w:rPr>
        <w:t xml:space="preserve"> </w:t>
      </w:r>
      <w:r>
        <w:rPr>
          <w:bCs/>
        </w:rPr>
        <w:t>feature will sort information by selecting from a sort table.  Other sort features throughout TMS are accomplished by clicking on the column heading or a right click on matrix area.</w:t>
      </w:r>
    </w:p>
    <w:p>
      <w:pPr>
        <w:pStyle w:val="Normal"/>
        <w:ind w:start="720" w:end="-1800"/>
        <w:rPr>
          <w:b/>
          <w:i/>
          <w:i/>
          <w:iCs/>
        </w:rPr>
      </w:pPr>
      <w:r>
        <w:rPr>
          <w:b/>
          <w:i/>
          <w:iCs/>
        </w:rPr>
        <w:t xml:space="preserve">Print &amp; Print Preview </w:t>
      </w:r>
    </w:p>
    <w:p>
      <w:pPr>
        <w:pStyle w:val="Normal"/>
        <w:ind w:start="720" w:end="-1800"/>
        <w:rPr/>
      </w:pPr>
      <w:r>
        <w:rPr>
          <w:b/>
          <w:i/>
          <w:iCs/>
        </w:rPr>
        <w:t>Export</w:t>
      </w:r>
      <w:r>
        <w:rPr>
          <w:b/>
        </w:rPr>
        <w:t xml:space="preserve"> </w:t>
      </w:r>
      <w:r>
        <w:rPr>
          <w:bCs/>
        </w:rPr>
        <w:t>icon gives the user the ability to export data to excel, access or lotus spreadsheets</w:t>
      </w:r>
    </w:p>
    <w:p>
      <w:pPr>
        <w:pStyle w:val="Normal"/>
        <w:numPr>
          <w:ilvl w:val="0"/>
          <w:numId w:val="0"/>
        </w:numPr>
        <w:ind w:hanging="360" w:start="1080" w:end="0"/>
        <w:rPr>
          <w:b/>
          <w:bCs/>
        </w:rPr>
      </w:pPr>
      <w:r>
        <w:rPr>
          <w:b/>
          <w:bCs/>
        </w:rPr>
      </w:r>
    </w:p>
    <w:p>
      <w:pPr>
        <w:pStyle w:val="Normal"/>
        <w:ind w:start="720" w:end="0"/>
        <w:jc w:val="both"/>
        <w:rPr>
          <w:b/>
          <w:bCs/>
        </w:rPr>
      </w:pPr>
      <w:r>
        <w:rPr>
          <w:b/>
          <w:bCs/>
        </w:rPr>
      </w:r>
    </w:p>
    <w:p>
      <w:pPr>
        <w:pStyle w:val="Normal"/>
        <w:numPr>
          <w:ilvl w:val="0"/>
          <w:numId w:val="3"/>
        </w:numPr>
        <w:rPr>
          <w:b/>
          <w:bCs/>
        </w:rPr>
      </w:pPr>
      <w:r>
        <w:rPr>
          <w:b/>
          <w:bCs/>
        </w:rPr>
        <w:t>Right Click Search Option</w:t>
      </w:r>
    </w:p>
    <w:p>
      <w:pPr>
        <w:pStyle w:val="Heading2"/>
        <w:rPr>
          <w:sz w:val="20"/>
        </w:rPr>
      </w:pPr>
      <w:r>
        <w:rPr>
          <w:sz w:val="20"/>
        </w:rPr>
        <w:t>This option is available in most screens by clicking on the Up/Dn contract field or the location field on form area.</w:t>
      </w:r>
    </w:p>
    <w:p>
      <w:pPr>
        <w:pStyle w:val="Normal"/>
        <w:rPr>
          <w:sz w:val="20"/>
        </w:rPr>
      </w:pPr>
      <w:r>
        <w:rPr>
          <w:sz w:val="20"/>
        </w:rPr>
      </w:r>
    </w:p>
    <w:p>
      <w:pPr>
        <w:pStyle w:val="Normal"/>
        <w:numPr>
          <w:ilvl w:val="0"/>
          <w:numId w:val="3"/>
        </w:numPr>
        <w:rPr>
          <w:b/>
          <w:bCs/>
        </w:rPr>
      </w:pPr>
      <w:r>
        <w:rPr>
          <w:b/>
          <w:bCs/>
        </w:rPr>
        <w:t>Group/Sort Function</w:t>
      </w:r>
    </w:p>
    <w:p>
      <w:pPr>
        <w:pStyle w:val="Normal"/>
        <w:ind w:start="720" w:end="0"/>
        <w:rPr/>
      </w:pPr>
      <w:r>
        <w:rPr/>
        <w:t>Right mouse click on the matrix area of the Scheduled Quantities screen</w:t>
      </w:r>
      <w:r>
        <w:rPr>
          <w:b/>
          <w:bCs/>
        </w:rPr>
        <w:t xml:space="preserve">.  </w:t>
      </w:r>
      <w:r>
        <w:rPr/>
        <w:t>This tool will provide user with the following options:</w:t>
      </w:r>
    </w:p>
    <w:p>
      <w:pPr>
        <w:pStyle w:val="Normal"/>
        <w:ind w:start="720" w:end="0"/>
        <w:rPr/>
      </w:pPr>
      <w:r>
        <w:rPr/>
      </w:r>
    </w:p>
    <w:p>
      <w:pPr>
        <w:pStyle w:val="Normal"/>
        <w:ind w:start="720" w:end="0"/>
        <w:rPr/>
      </w:pPr>
      <w:r>
        <w:rPr>
          <w:b/>
          <w:bCs/>
          <w:i/>
          <w:iCs/>
        </w:rPr>
        <w:t>Sort</w:t>
      </w:r>
      <w:r>
        <w:rPr/>
        <w:t xml:space="preserve"> – This will sort information by selecting column headings listed in the Sort Criteria View.</w:t>
      </w:r>
    </w:p>
    <w:p>
      <w:pPr>
        <w:pStyle w:val="Normal"/>
        <w:ind w:start="720" w:end="0"/>
        <w:rPr/>
      </w:pPr>
      <w:r>
        <w:rPr/>
      </w:r>
    </w:p>
    <w:p>
      <w:pPr>
        <w:pStyle w:val="Normal"/>
        <w:ind w:start="720" w:end="0"/>
        <w:rPr>
          <w:b/>
        </w:rPr>
      </w:pPr>
      <w:r>
        <w:rPr>
          <w:b/>
          <w:bCs/>
          <w:i/>
          <w:iCs/>
        </w:rPr>
        <w:t>Group</w:t>
      </w:r>
      <w:r>
        <w:rPr/>
        <w:t xml:space="preserve"> – This will group and sub total information by selecting column headings listed in the Group/Subtotal Criteria View.   </w:t>
        <w:tab/>
      </w:r>
    </w:p>
    <w:p>
      <w:pPr>
        <w:pStyle w:val="Normal"/>
        <w:ind w:end="-1800"/>
        <w:rPr>
          <w:b/>
        </w:rPr>
      </w:pPr>
      <w:r>
        <w:rPr>
          <w:b/>
        </w:rPr>
        <w:tab/>
        <w:tab/>
      </w:r>
    </w:p>
    <w:p>
      <w:pPr>
        <w:pStyle w:val="Normal"/>
        <w:numPr>
          <w:ilvl w:val="0"/>
          <w:numId w:val="0"/>
        </w:numPr>
        <w:ind w:hanging="0" w:start="360" w:end="0"/>
        <w:rPr/>
      </w:pPr>
      <w:r>
        <w:rPr/>
        <w:t>Drop down box showing the different cycles for the day.</w:t>
      </w:r>
    </w:p>
    <w:p>
      <w:pPr>
        <w:pStyle w:val="Normal"/>
        <w:numPr>
          <w:ilvl w:val="0"/>
          <w:numId w:val="0"/>
        </w:numPr>
        <w:ind w:hanging="0" w:start="360" w:end="0"/>
        <w:rPr/>
      </w:pPr>
      <w:r>
        <w:rPr/>
        <w:t>Drop down box listing cut code reference</w:t>
      </w:r>
    </w:p>
    <w:p>
      <w:pPr>
        <w:pStyle w:val="Heading3"/>
        <w:rPr>
          <w:sz w:val="20"/>
        </w:rPr>
      </w:pPr>
      <w:r>
        <w:rPr>
          <w:sz w:val="20"/>
        </w:rPr>
        <w:t>Scheduled quantities available are the quantities for the last completed cycle for a specific gas day</w:t>
      </w:r>
    </w:p>
    <w:p>
      <w:pPr>
        <w:pStyle w:val="Normal"/>
        <w:numPr>
          <w:ilvl w:val="0"/>
          <w:numId w:val="0"/>
        </w:numPr>
        <w:ind w:hanging="0" w:start="360" w:end="-1800"/>
        <w:rPr/>
      </w:pPr>
      <w:r>
        <w:rPr/>
        <w:t>Right click option</w:t>
      </w:r>
    </w:p>
    <w:p>
      <w:pPr>
        <w:pStyle w:val="Normal"/>
        <w:numPr>
          <w:ilvl w:val="0"/>
          <w:numId w:val="0"/>
        </w:numPr>
        <w:ind w:hanging="0" w:start="360" w:end="-1800"/>
        <w:rPr/>
      </w:pPr>
      <w:r>
        <w:rPr/>
        <w:t>Receipt and Delivery totals</w:t>
      </w:r>
    </w:p>
    <w:p>
      <w:pPr>
        <w:pStyle w:val="Normal"/>
        <w:numPr>
          <w:ilvl w:val="0"/>
          <w:numId w:val="0"/>
        </w:numPr>
        <w:ind w:hanging="0" w:start="360" w:end="-1800"/>
        <w:rPr/>
      </w:pPr>
      <w:r>
        <w:rPr/>
        <w:t>Path Detective (See Path Detective for more details)</w:t>
      </w:r>
    </w:p>
    <w:p>
      <w:pPr>
        <w:pStyle w:val="Normal"/>
        <w:numPr>
          <w:ilvl w:val="0"/>
          <w:numId w:val="0"/>
        </w:numPr>
        <w:ind w:hanging="0" w:start="360" w:end="-1800"/>
        <w:rPr/>
      </w:pPr>
      <w:r>
        <w:rPr/>
      </w:r>
    </w:p>
    <w:p>
      <w:pPr>
        <w:pStyle w:val="Normal"/>
        <w:numPr>
          <w:ilvl w:val="0"/>
          <w:numId w:val="0"/>
        </w:numPr>
        <w:ind w:hanging="0" w:start="360" w:end="0"/>
        <w:rPr/>
      </w:pPr>
      <w:r>
        <w:rPr/>
      </w:r>
    </w:p>
    <w:p>
      <w:pPr>
        <w:pStyle w:val="Normal"/>
        <w:numPr>
          <w:ilvl w:val="0"/>
          <w:numId w:val="3"/>
        </w:numPr>
        <w:rPr>
          <w:b/>
          <w:bCs/>
          <w:u w:val="single"/>
        </w:rPr>
      </w:pPr>
      <w:r>
        <w:rPr>
          <w:b/>
          <w:bCs/>
          <w:u w:val="single"/>
        </w:rPr>
        <w:t>Batch Status</w:t>
      </w:r>
    </w:p>
    <w:p>
      <w:pPr>
        <w:pStyle w:val="Normal"/>
        <w:rPr>
          <w:b/>
          <w:bCs/>
          <w:u w:val="single"/>
        </w:rPr>
      </w:pPr>
      <w:r>
        <w:rPr>
          <w:b/>
          <w:bCs/>
          <w:u w:val="single"/>
        </w:rPr>
      </w:r>
    </w:p>
    <w:p>
      <w:pPr>
        <w:pStyle w:val="Normal"/>
        <w:ind w:start="360" w:end="0"/>
        <w:rPr/>
      </w:pPr>
      <w:r>
        <w:rPr/>
        <w:t>To see if ETS has completed a schedule cycle, retrieve the batch status under “scheduling” on the menu bar.  The view retrieves information by cycle and for three consecutive gas days.</w:t>
      </w:r>
    </w:p>
    <w:p>
      <w:pPr>
        <w:pStyle w:val="Normal"/>
        <w:ind w:start="360" w:end="0"/>
        <w:rPr/>
      </w:pPr>
      <w:r>
        <w:rPr/>
      </w:r>
      <w:r>
        <w:br w:type="page"/>
      </w:r>
    </w:p>
    <w:p>
      <w:pPr>
        <w:pStyle w:val="Normal"/>
        <w:rPr>
          <w:b/>
          <w:bCs/>
          <w:color w:val="0000FF"/>
          <w:sz w:val="28"/>
          <w:u w:val="single"/>
        </w:rPr>
      </w:pPr>
      <w:r>
        <w:rPr>
          <w:b/>
          <w:bCs/>
          <w:color w:val="0000FF"/>
          <w:sz w:val="28"/>
          <w:u w:val="single"/>
        </w:rPr>
        <w:t>Path Detective Tool</w:t>
      </w:r>
    </w:p>
    <w:p>
      <w:pPr>
        <w:pStyle w:val="Normal"/>
        <w:rPr>
          <w:b/>
          <w:bCs/>
          <w:color w:val="0000FF"/>
          <w:sz w:val="28"/>
          <w:u w:val="single"/>
        </w:rPr>
      </w:pPr>
      <w:r>
        <w:rPr>
          <w:b/>
          <w:bCs/>
          <w:color w:val="0000FF"/>
          <w:sz w:val="28"/>
          <w:u w:val="single"/>
        </w:rPr>
      </w:r>
    </w:p>
    <w:p>
      <w:pPr>
        <w:pStyle w:val="body2"/>
        <w:ind w:hanging="0" w:start="0" w:end="0"/>
        <w:rPr/>
      </w:pPr>
      <w:r>
        <w:rPr>
          <w:rFonts w:cs="Times New Roman" w:ascii="Times New Roman" w:hAnsi="Times New Roman"/>
          <w:sz w:val="20"/>
        </w:rPr>
        <w:t xml:space="preserve">A reduction code appears under the </w:t>
      </w:r>
      <w:r>
        <w:rPr>
          <w:rFonts w:cs="Times New Roman" w:ascii="Times New Roman" w:hAnsi="Times New Roman"/>
          <w:b/>
          <w:i/>
          <w:iCs/>
          <w:sz w:val="20"/>
        </w:rPr>
        <w:t>Reduction Reason</w:t>
      </w:r>
      <w:r>
        <w:rPr>
          <w:rFonts w:cs="Times New Roman" w:ascii="Times New Roman" w:hAnsi="Times New Roman"/>
          <w:sz w:val="20"/>
        </w:rPr>
        <w:t xml:space="preserve"> (RR) column identifying all nominations that have been cut.  Highlight the nomination line showing a cut by clicking on the line.  On the top of the Scheduled Quantities screen click on the </w:t>
      </w:r>
      <w:r>
        <w:rPr>
          <w:rFonts w:cs="Times New Roman" w:ascii="Times New Roman" w:hAnsi="Times New Roman"/>
          <w:b/>
          <w:bCs/>
          <w:i/>
          <w:iCs/>
          <w:sz w:val="20"/>
        </w:rPr>
        <w:t>“Detect”</w:t>
      </w:r>
      <w:r>
        <w:rPr>
          <w:rFonts w:cs="Times New Roman" w:ascii="Times New Roman" w:hAnsi="Times New Roman"/>
          <w:sz w:val="20"/>
        </w:rPr>
        <w:t xml:space="preserve"> icon and the Path Detective screen will list each cut and a corresponding explanation.</w:t>
      </w:r>
    </w:p>
    <w:p>
      <w:pPr>
        <w:pStyle w:val="body1"/>
        <w:rPr/>
      </w:pPr>
      <w:r>
        <w:rPr>
          <w:rFonts w:cs="Times New Roman" w:ascii="Times New Roman" w:hAnsi="Times New Roman"/>
          <w:sz w:val="20"/>
        </w:rPr>
        <w:t xml:space="preserve">The Purpose of the </w:t>
      </w:r>
      <w:r>
        <w:rPr>
          <w:rFonts w:cs="Times New Roman" w:ascii="Times New Roman" w:hAnsi="Times New Roman"/>
          <w:b/>
          <w:i/>
          <w:iCs/>
          <w:sz w:val="20"/>
        </w:rPr>
        <w:t>Path Detective</w:t>
      </w:r>
      <w:r>
        <w:rPr>
          <w:rFonts w:cs="Times New Roman" w:ascii="Times New Roman" w:hAnsi="Times New Roman"/>
          <w:sz w:val="20"/>
        </w:rPr>
        <w:t xml:space="preserve"> tool is to assist service requesters in reviewing scheduled quantity cuts.  An asterisk (*) in the Reduction Reason (RR) column on the Scheduled Quantities screen means that a path has had multiple cuts.  The Path Detective provides a breakdown of quantities cut, along with the associated reason codes and the upstream or downstream direction in which the cut originated.  The Path Detective is available for all cycles.  </w:t>
      </w:r>
    </w:p>
    <w:p>
      <w:pPr>
        <w:pStyle w:val="body2"/>
        <w:ind w:hanging="0" w:start="0" w:end="0"/>
        <w:rPr>
          <w:rFonts w:ascii="Times New Roman" w:hAnsi="Times New Roman" w:cs="Times New Roman"/>
          <w:sz w:val="20"/>
        </w:rPr>
      </w:pPr>
      <w:r>
        <w:rPr>
          <w:rFonts w:cs="Times New Roman" w:ascii="Times New Roman" w:hAnsi="Times New Roman"/>
          <w:sz w:val="20"/>
        </w:rPr>
      </w:r>
    </w:p>
    <w:p>
      <w:pPr>
        <w:pStyle w:val="Normal"/>
        <w:ind w:start="360" w:end="0"/>
        <w:rPr>
          <w:rFonts w:ascii="Times New Roman" w:hAnsi="Times New Roman" w:cs="Times New Roman"/>
          <w:sz w:val="20"/>
        </w:rPr>
      </w:pPr>
      <w:r>
        <w:rPr>
          <w:rFonts w:cs="Times New Roman"/>
          <w:sz w:val="20"/>
        </w:rPr>
      </w:r>
    </w:p>
    <w:p>
      <w:pPr>
        <w:pStyle w:val="Normal"/>
        <w:ind w:start="360" w:end="0"/>
        <w:rPr/>
      </w:pPr>
      <w:r>
        <w:rPr/>
      </w:r>
    </w:p>
    <w:p>
      <w:pPr>
        <w:pStyle w:val="Normal"/>
        <w:ind w:start="360" w:end="0"/>
        <w:rPr/>
      </w:pPr>
      <w:r>
        <w:rPr/>
      </w:r>
    </w:p>
    <w:p>
      <w:pPr>
        <w:pStyle w:val="Normal"/>
        <w:ind w:start="360" w:end="0"/>
        <w:rPr/>
      </w:pPr>
      <w:r>
        <w:rPr/>
      </w:r>
    </w:p>
    <w:p>
      <w:pPr>
        <w:pStyle w:val="Normal"/>
        <w:rPr>
          <w:b/>
          <w:bCs/>
          <w:color w:val="0000FF"/>
          <w:sz w:val="24"/>
          <w:u w:val="single"/>
        </w:rPr>
      </w:pPr>
      <w:r>
        <w:rPr>
          <w:b/>
          <w:bCs/>
          <w:color w:val="0000FF"/>
          <w:sz w:val="24"/>
          <w:u w:val="single"/>
        </w:rPr>
        <w:t>Other Scheduling Views</w:t>
      </w:r>
    </w:p>
    <w:p>
      <w:pPr>
        <w:pStyle w:val="Normal"/>
        <w:rPr>
          <w:b/>
          <w:bCs/>
          <w:color w:val="0000FF"/>
          <w:sz w:val="24"/>
          <w:u w:val="single"/>
        </w:rPr>
      </w:pPr>
      <w:r>
        <w:rPr>
          <w:b/>
          <w:bCs/>
          <w:color w:val="0000FF"/>
          <w:sz w:val="24"/>
          <w:u w:val="single"/>
        </w:rPr>
      </w:r>
    </w:p>
    <w:p>
      <w:pPr>
        <w:pStyle w:val="Heading7"/>
        <w:ind w:start="0" w:end="0"/>
        <w:rPr/>
      </w:pPr>
      <w:r>
        <w:rPr>
          <w:sz w:val="20"/>
        </w:rPr>
        <w:t xml:space="preserve">Scheduled Quantities by Contract </w:t>
      </w:r>
      <w:r>
        <w:rPr>
          <w:b w:val="false"/>
          <w:bCs w:val="false"/>
          <w:i w:val="false"/>
          <w:iCs w:val="false"/>
          <w:sz w:val="20"/>
        </w:rPr>
        <w:t>will list by day the total nominated and scheduled quantities for a specific contract and day.  After retrieving the view, the user can highlight a specific day and select (click) on the “detail” icon to view totals by Loc/DRN for a specific day for a specific contract.</w:t>
      </w:r>
    </w:p>
    <w:p>
      <w:pPr>
        <w:pStyle w:val="Normal"/>
        <w:rPr>
          <w:b/>
          <w:bCs/>
          <w:i/>
          <w:i/>
          <w:iCs/>
          <w:sz w:val="20"/>
        </w:rPr>
      </w:pPr>
      <w:r>
        <w:rPr>
          <w:b/>
          <w:bCs/>
          <w:i/>
          <w:iCs/>
          <w:sz w:val="20"/>
        </w:rPr>
      </w:r>
    </w:p>
    <w:p>
      <w:pPr>
        <w:pStyle w:val="Normal"/>
        <w:rPr/>
      </w:pPr>
      <w:r>
        <w:rPr>
          <w:b/>
          <w:bCs/>
          <w:i/>
          <w:iCs/>
        </w:rPr>
        <w:t xml:space="preserve">Scheduled Quantities by Contract &amp; Location </w:t>
      </w:r>
      <w:r>
        <w:rPr/>
        <w:t>will list by day the total quantities nominated and scheduled for a specific contract and location.</w:t>
      </w:r>
    </w:p>
    <w:p>
      <w:pPr>
        <w:pStyle w:val="Normal"/>
        <w:jc w:val="both"/>
        <w:rPr>
          <w:b/>
          <w:bCs/>
          <w:i/>
          <w:i/>
          <w:iCs/>
        </w:rPr>
      </w:pPr>
      <w:r>
        <w:rPr>
          <w:b/>
          <w:bCs/>
          <w:i/>
          <w:iCs/>
        </w:rPr>
        <w:tab/>
      </w:r>
      <w:r>
        <w:br w:type="page"/>
      </w:r>
    </w:p>
    <w:p>
      <w:pPr>
        <w:pStyle w:val="Normal"/>
        <w:numPr>
          <w:ilvl w:val="0"/>
          <w:numId w:val="0"/>
        </w:numPr>
        <w:ind w:hanging="360" w:start="360" w:end="0"/>
        <w:rPr/>
      </w:pPr>
      <w:r>
        <w:rPr/>
      </w:r>
    </w:p>
    <w:p>
      <w:pPr>
        <w:pStyle w:val="Normal"/>
        <w:numPr>
          <w:ilvl w:val="0"/>
          <w:numId w:val="0"/>
        </w:numPr>
        <w:ind w:hanging="360" w:start="360" w:end="0"/>
        <w:rPr/>
      </w:pPr>
      <w:r>
        <w:rPr/>
      </w:r>
    </w:p>
    <w:p>
      <w:pPr>
        <w:pStyle w:val="Heading9"/>
        <w:rPr>
          <w:color w:val="0000FF"/>
          <w:u w:val="single"/>
        </w:rPr>
      </w:pPr>
      <w:r>
        <w:rPr>
          <w:color w:val="0000FF"/>
          <w:u w:val="single"/>
        </w:rPr>
        <w:t xml:space="preserve"> </w:t>
      </w:r>
      <w:r>
        <w:rPr>
          <w:color w:val="0000FF"/>
          <w:u w:val="single"/>
        </w:rPr>
        <w:t xml:space="preserve">CONFIRMATION </w:t>
      </w:r>
    </w:p>
    <w:p>
      <w:pPr>
        <w:pStyle w:val="Normal"/>
        <w:numPr>
          <w:ilvl w:val="0"/>
          <w:numId w:val="0"/>
        </w:numPr>
        <w:ind w:hanging="360" w:start="360" w:end="0"/>
        <w:rPr>
          <w:b/>
          <w:color w:val="0000FF"/>
          <w:u w:val="single"/>
        </w:rPr>
      </w:pPr>
      <w:r>
        <w:rPr>
          <w:b/>
          <w:color w:val="0000FF"/>
          <w:u w:val="single"/>
        </w:rPr>
      </w:r>
    </w:p>
    <w:p>
      <w:pPr>
        <w:pStyle w:val="Normal"/>
        <w:rPr>
          <w:b/>
          <w:color w:val="3366FF"/>
          <w:u w:val="single"/>
        </w:rPr>
      </w:pPr>
      <w:r>
        <w:rPr/>
        <w:t xml:space="preserve">The purpose of the </w:t>
      </w:r>
      <w:r>
        <w:rPr>
          <w:rFonts w:cs="Garamond" w:ascii="Garamond" w:hAnsi="Garamond"/>
          <w:b/>
          <w:bCs/>
        </w:rPr>
        <w:t>Confirmation Maintenance</w:t>
      </w:r>
      <w:r>
        <w:rPr/>
        <w:t xml:space="preserve"> screen is to confirm gas flows between interconnecting parties and request makeup nominations to and from the pipeline.  Specifically, the </w:t>
      </w:r>
      <w:r>
        <w:rPr>
          <w:rFonts w:cs="Garamond" w:ascii="Garamond" w:hAnsi="Garamond"/>
          <w:b/>
          <w:bCs/>
        </w:rPr>
        <w:t xml:space="preserve">Confirmation Maintenance </w:t>
      </w:r>
      <w:r>
        <w:rPr/>
        <w:t xml:space="preserve">screen allows you to perform the following functions:  confirm a single nomination, confirm all nominations, pre-confirm quantities prior to the service requester nominating, and nominate operator makeup quantities.  </w:t>
      </w:r>
    </w:p>
    <w:p>
      <w:pPr>
        <w:pStyle w:val="Normal"/>
        <w:rPr>
          <w:b/>
          <w:color w:val="3366FF"/>
          <w:u w:val="single"/>
        </w:rPr>
      </w:pPr>
      <w:r>
        <w:rPr>
          <w:b/>
          <w:color w:val="3366FF"/>
          <w:u w:val="single"/>
        </w:rPr>
      </w:r>
    </w:p>
    <w:p>
      <w:pPr>
        <w:pStyle w:val="Normal"/>
        <w:ind w:start="360" w:end="0"/>
        <w:rPr>
          <w:b/>
          <w:bCs/>
        </w:rPr>
      </w:pPr>
      <w:r>
        <w:rPr>
          <w:b/>
          <w:bCs/>
        </w:rPr>
        <w:t>Operator Choices:</w:t>
      </w:r>
    </w:p>
    <w:p>
      <w:pPr>
        <w:pStyle w:val="Normal"/>
        <w:ind w:start="360" w:end="0"/>
        <w:rPr>
          <w:b/>
          <w:bCs/>
        </w:rPr>
      </w:pPr>
      <w:r>
        <w:rPr>
          <w:b/>
          <w:bCs/>
        </w:rPr>
      </w:r>
    </w:p>
    <w:p>
      <w:pPr>
        <w:pStyle w:val="Normal"/>
        <w:ind w:start="360" w:end="0"/>
        <w:rPr/>
      </w:pPr>
      <w:r>
        <w:rPr>
          <w:b/>
          <w:bCs/>
          <w:i/>
          <w:iCs/>
        </w:rPr>
        <w:t>Active Confirmation</w:t>
      </w:r>
      <w:r>
        <w:rPr/>
        <w:t xml:space="preserve"> – The operator for a location actively confirms all nominations at all locations during </w:t>
      </w:r>
      <w:r>
        <w:rPr>
          <w:b/>
          <w:bCs/>
          <w:i/>
          <w:iCs/>
        </w:rPr>
        <w:t>all cycles</w:t>
      </w:r>
      <w:r>
        <w:rPr/>
        <w:t>.</w:t>
      </w:r>
    </w:p>
    <w:p>
      <w:pPr>
        <w:pStyle w:val="Normal"/>
        <w:ind w:start="360" w:end="0"/>
        <w:rPr/>
      </w:pPr>
      <w:r>
        <w:rPr/>
      </w:r>
    </w:p>
    <w:p>
      <w:pPr>
        <w:pStyle w:val="Normal"/>
        <w:ind w:start="360" w:end="0"/>
        <w:rPr/>
      </w:pPr>
      <w:r>
        <w:rPr>
          <w:b/>
          <w:bCs/>
          <w:i/>
          <w:iCs/>
        </w:rPr>
        <w:t>Passive Confirmation</w:t>
      </w:r>
      <w:r>
        <w:rPr/>
        <w:t xml:space="preserve"> – The operator for a location actively confirms nominations at all locations in the </w:t>
      </w:r>
      <w:r>
        <w:rPr>
          <w:b/>
          <w:bCs/>
          <w:i/>
          <w:iCs/>
        </w:rPr>
        <w:t>Timely Cycle</w:t>
      </w:r>
      <w:r>
        <w:rPr/>
        <w:t>.  The operator will not be required to confirm during the Intraday Cycles.  The confirmation quantity from the previous cycle will be copied to the next cycle.</w:t>
      </w:r>
    </w:p>
    <w:p>
      <w:pPr>
        <w:pStyle w:val="Normal"/>
        <w:ind w:start="360" w:end="0"/>
        <w:rPr/>
      </w:pPr>
      <w:r>
        <w:rPr/>
      </w:r>
    </w:p>
    <w:p>
      <w:pPr>
        <w:pStyle w:val="Normal"/>
        <w:ind w:start="360" w:end="0"/>
        <w:rPr/>
      </w:pPr>
      <w:r>
        <w:rPr>
          <w:b/>
          <w:bCs/>
          <w:i/>
          <w:iCs/>
        </w:rPr>
        <w:t>Confirmation by Exception</w:t>
      </w:r>
      <w:r>
        <w:rPr/>
        <w:t xml:space="preserve"> – ETS will automatically confirm </w:t>
      </w:r>
      <w:r>
        <w:rPr>
          <w:b/>
          <w:bCs/>
          <w:i/>
          <w:iCs/>
        </w:rPr>
        <w:t>all nominations</w:t>
      </w:r>
      <w:r>
        <w:rPr/>
        <w:t xml:space="preserve"> for the operator’s specified location(s).  All confirmed quantities equal nominated quantities </w:t>
      </w:r>
      <w:r>
        <w:rPr>
          <w:b/>
          <w:bCs/>
          <w:i/>
          <w:iCs/>
        </w:rPr>
        <w:t>for all cycles</w:t>
      </w:r>
      <w:r>
        <w:rPr/>
        <w:t>.  Operators will be able to change any confirmation that is automatically confirmed by ETS during any cycle.  Any manual change made by the operator will remain in place for the entire gas day.</w:t>
      </w:r>
    </w:p>
    <w:p>
      <w:pPr>
        <w:pStyle w:val="Normal"/>
        <w:ind w:start="360" w:end="0"/>
        <w:rPr/>
      </w:pPr>
      <w:r>
        <w:rPr/>
      </w:r>
    </w:p>
    <w:p>
      <w:pPr>
        <w:pStyle w:val="Normal"/>
        <w:ind w:start="360" w:end="0"/>
        <w:rPr/>
      </w:pPr>
      <w:r>
        <w:rPr/>
        <w:t>Default is active by point not legal entity.</w:t>
      </w:r>
    </w:p>
    <w:p>
      <w:pPr>
        <w:pStyle w:val="Normal"/>
        <w:ind w:start="360" w:end="0"/>
        <w:rPr/>
      </w:pPr>
      <w:r>
        <w:rPr/>
      </w:r>
    </w:p>
    <w:p>
      <w:pPr>
        <w:pStyle w:val="Normal"/>
        <w:ind w:start="360" w:end="0"/>
        <w:rPr/>
      </w:pPr>
      <w:r>
        <w:rPr/>
        <w:t xml:space="preserve">Loc/DRN can be retrieved for each cycle by each Loc/DRN number, all Loc/DRN. </w:t>
      </w:r>
    </w:p>
    <w:p>
      <w:pPr>
        <w:pStyle w:val="Normal"/>
        <w:ind w:start="360" w:end="0"/>
        <w:rPr/>
      </w:pPr>
      <w:r>
        <w:rPr/>
      </w:r>
    </w:p>
    <w:p>
      <w:pPr>
        <w:pStyle w:val="Normal"/>
        <w:ind w:start="360" w:end="0"/>
        <w:rPr/>
      </w:pPr>
      <w:r>
        <w:rPr/>
        <w:t xml:space="preserve">Operator can confirm by line or use the </w:t>
      </w:r>
      <w:r>
        <w:rPr>
          <w:b/>
          <w:bCs/>
        </w:rPr>
        <w:t>“Confirm All”</w:t>
      </w:r>
      <w:r>
        <w:rPr/>
        <w:t xml:space="preserve"> icon.</w:t>
      </w:r>
    </w:p>
    <w:p>
      <w:pPr>
        <w:pStyle w:val="Normal"/>
        <w:ind w:start="360" w:end="0"/>
        <w:rPr/>
      </w:pPr>
      <w:r>
        <w:rPr/>
      </w:r>
    </w:p>
    <w:p>
      <w:pPr>
        <w:pStyle w:val="Normal"/>
        <w:ind w:start="360" w:end="0"/>
        <w:rPr/>
      </w:pPr>
      <w:r>
        <w:rPr/>
        <w:t xml:space="preserve">Pre-confirmation option – This option will confirm only if </w:t>
      </w:r>
      <w:r>
        <w:rPr>
          <w:b/>
          <w:bCs/>
          <w:i/>
          <w:iCs/>
        </w:rPr>
        <w:t>all</w:t>
      </w:r>
      <w:r>
        <w:rPr>
          <w:i/>
          <w:iCs/>
        </w:rPr>
        <w:t xml:space="preserve"> </w:t>
      </w:r>
      <w:r>
        <w:rPr>
          <w:b/>
          <w:bCs/>
          <w:i/>
          <w:iCs/>
        </w:rPr>
        <w:t>data fields perfectly match</w:t>
      </w:r>
      <w:r>
        <w:rPr/>
        <w:t xml:space="preserve"> between the nomination data and pre-confirmation data.</w:t>
      </w:r>
    </w:p>
    <w:p>
      <w:pPr>
        <w:pStyle w:val="Normal"/>
        <w:ind w:start="360" w:end="0"/>
        <w:rPr/>
      </w:pPr>
      <w:r>
        <w:rPr/>
      </w:r>
    </w:p>
    <w:p>
      <w:pPr>
        <w:pStyle w:val="Normal"/>
        <w:ind w:start="360" w:end="0"/>
        <w:rPr/>
      </w:pPr>
      <w:r>
        <w:rPr/>
        <w:t>Scheduled quantities are displayed for confirmation on screen after allocations are completed and updated after lesser of is completed.</w:t>
      </w:r>
    </w:p>
    <w:p>
      <w:pPr>
        <w:pStyle w:val="Normal"/>
        <w:ind w:start="360" w:end="0"/>
        <w:rPr/>
      </w:pPr>
      <w:r>
        <w:rPr/>
      </w:r>
    </w:p>
    <w:p>
      <w:pPr>
        <w:pStyle w:val="Normal"/>
        <w:ind w:start="360" w:end="0"/>
        <w:rPr/>
      </w:pPr>
      <w:r>
        <w:rPr/>
        <w:t>Use make up icon to submit nom for operator to request physical make up gas to and from the pipe.  ETS confirm all make up nominations requests.</w:t>
      </w:r>
    </w:p>
    <w:p>
      <w:pPr>
        <w:pStyle w:val="Normal"/>
        <w:numPr>
          <w:ilvl w:val="0"/>
          <w:numId w:val="0"/>
        </w:numPr>
        <w:ind w:hanging="360" w:start="360" w:end="0"/>
        <w:rPr/>
      </w:pPr>
      <w:r>
        <w:rPr/>
      </w:r>
    </w:p>
    <w:p>
      <w:pPr>
        <w:pStyle w:val="Normal"/>
        <w:numPr>
          <w:ilvl w:val="0"/>
          <w:numId w:val="5"/>
        </w:numPr>
        <w:ind w:hanging="360" w:start="360" w:end="0"/>
        <w:rPr>
          <w:b/>
          <w:color w:val="3366FF"/>
        </w:rPr>
      </w:pPr>
      <w:r>
        <w:rPr>
          <w:b/>
          <w:color w:val="3366FF"/>
          <w:u w:val="single"/>
        </w:rPr>
        <w:t>Confirmation Summary Screen</w:t>
      </w:r>
    </w:p>
    <w:p>
      <w:pPr>
        <w:pStyle w:val="Normal"/>
        <w:rPr>
          <w:b/>
          <w:color w:val="3366FF"/>
        </w:rPr>
      </w:pPr>
      <w:r>
        <w:rPr>
          <w:b/>
          <w:color w:val="3366FF"/>
        </w:rPr>
      </w:r>
    </w:p>
    <w:p>
      <w:pPr>
        <w:pStyle w:val="Normal"/>
        <w:ind w:start="360" w:end="0"/>
        <w:rPr/>
      </w:pPr>
      <w:r>
        <w:rPr/>
        <w:t>The purpose of the Confirmation Summary screen is to provide operators a view of their daily and monthly scheduled gas quantities at their locations.  They can view these gas quantities by location, DUNS Identification, or operational balancing agreement/delivery point operator agreement.</w:t>
      </w:r>
    </w:p>
    <w:p>
      <w:pPr>
        <w:pStyle w:val="Normal"/>
        <w:numPr>
          <w:ilvl w:val="0"/>
          <w:numId w:val="0"/>
        </w:numPr>
        <w:ind w:hanging="360" w:start="360" w:end="0"/>
        <w:rPr>
          <w:b/>
        </w:rPr>
      </w:pPr>
      <w:r>
        <w:rPr>
          <w:b/>
        </w:rPr>
      </w:r>
    </w:p>
    <w:p>
      <w:pPr>
        <w:pStyle w:val="Normal"/>
        <w:numPr>
          <w:ilvl w:val="0"/>
          <w:numId w:val="0"/>
        </w:numPr>
        <w:ind w:hanging="0" w:start="360" w:end="0"/>
        <w:jc w:val="both"/>
        <w:rPr>
          <w:bCs/>
        </w:rPr>
      </w:pPr>
      <w:r>
        <w:rPr>
          <w:bCs/>
        </w:rPr>
        <w:t>Information can be retrieved by each Loc/DRN, click on Loc/DRN and select a Loc/DRN from drop down.  If retrieving data by ID screen will display all Loc/DRN under ID, and if retrieving data by OBA/DPOA the screen will display all Loc/DRN tied to this OBA/DPOA.</w:t>
      </w:r>
    </w:p>
    <w:p>
      <w:pPr>
        <w:pStyle w:val="Normal"/>
        <w:numPr>
          <w:ilvl w:val="0"/>
          <w:numId w:val="0"/>
        </w:numPr>
        <w:ind w:hanging="0" w:start="360" w:end="0"/>
        <w:jc w:val="both"/>
        <w:rPr>
          <w:bCs/>
        </w:rPr>
      </w:pPr>
      <w:r>
        <w:rPr>
          <w:bCs/>
        </w:rPr>
      </w:r>
    </w:p>
    <w:p>
      <w:pPr>
        <w:pStyle w:val="Normal"/>
        <w:numPr>
          <w:ilvl w:val="0"/>
          <w:numId w:val="3"/>
        </w:numPr>
        <w:jc w:val="both"/>
        <w:rPr>
          <w:bCs/>
          <w:color w:val="3366FF"/>
        </w:rPr>
      </w:pPr>
      <w:r>
        <w:rPr>
          <w:b/>
          <w:bCs/>
          <w:color w:val="3366FF"/>
          <w:u w:val="single"/>
        </w:rPr>
        <w:t>Scheduling Views</w:t>
      </w:r>
    </w:p>
    <w:p>
      <w:pPr>
        <w:pStyle w:val="Normal"/>
        <w:numPr>
          <w:ilvl w:val="0"/>
          <w:numId w:val="0"/>
        </w:numPr>
        <w:ind w:hanging="0" w:start="360" w:end="0"/>
        <w:jc w:val="both"/>
        <w:rPr>
          <w:bCs/>
          <w:color w:val="3366FF"/>
        </w:rPr>
      </w:pPr>
      <w:r>
        <w:rPr>
          <w:bCs/>
          <w:color w:val="3366FF"/>
        </w:rPr>
      </w:r>
    </w:p>
    <w:p>
      <w:pPr>
        <w:pStyle w:val="Normal"/>
        <w:ind w:start="300" w:end="0"/>
        <w:jc w:val="both"/>
        <w:rPr/>
      </w:pPr>
      <w:r>
        <w:rPr>
          <w:b/>
          <w:bCs/>
          <w:i/>
          <w:iCs/>
        </w:rPr>
        <w:t xml:space="preserve">Scheduled Quantities by Location- </w:t>
      </w:r>
      <w:r>
        <w:rPr/>
        <w:t>This view is only available to operators and</w:t>
      </w:r>
      <w:r>
        <w:rPr>
          <w:i/>
          <w:iCs/>
        </w:rPr>
        <w:t xml:space="preserve"> </w:t>
      </w:r>
      <w:r>
        <w:rPr/>
        <w:t xml:space="preserve">will list by day total quantities nominated and scheduled for a specific Loc/DRN.  After retrieving view, the user can highlight a specific day and select the </w:t>
      </w:r>
      <w:r>
        <w:rPr>
          <w:b/>
          <w:bCs/>
          <w:i/>
          <w:iCs/>
        </w:rPr>
        <w:t>“Detail”</w:t>
      </w:r>
      <w:r>
        <w:rPr/>
        <w:t xml:space="preserve"> icon.  This selection will provide the user the ability to view the total nominated and scheduled quantities by each of the Service Requestor’s contract nominating to that specific Loc/DRN</w:t>
      </w:r>
    </w:p>
    <w:p>
      <w:pPr>
        <w:pStyle w:val="Normal"/>
        <w:ind w:start="300" w:end="0"/>
        <w:jc w:val="both"/>
        <w:rPr/>
      </w:pPr>
      <w:r>
        <w:rPr/>
      </w:r>
    </w:p>
    <w:p>
      <w:pPr>
        <w:pStyle w:val="Normal"/>
        <w:ind w:start="300" w:end="0"/>
        <w:jc w:val="both"/>
        <w:rPr>
          <w:b/>
          <w:color w:val="0000FF"/>
          <w:sz w:val="28"/>
          <w:u w:val="single"/>
        </w:rPr>
      </w:pPr>
      <w:r>
        <w:rPr>
          <w:b/>
          <w:color w:val="0000FF"/>
          <w:sz w:val="28"/>
          <w:u w:val="single"/>
        </w:rPr>
        <w:t>Reports</w:t>
      </w:r>
    </w:p>
    <w:p>
      <w:pPr>
        <w:pStyle w:val="Normal"/>
        <w:ind w:start="360" w:end="0"/>
        <w:jc w:val="both"/>
        <w:rPr>
          <w:b/>
          <w:color w:val="0000FF"/>
          <w:sz w:val="28"/>
          <w:u w:val="single"/>
        </w:rPr>
      </w:pPr>
      <w:r>
        <w:rPr>
          <w:b/>
          <w:color w:val="0000FF"/>
          <w:sz w:val="28"/>
          <w:u w:val="single"/>
        </w:rPr>
      </w:r>
    </w:p>
    <w:p>
      <w:pPr>
        <w:pStyle w:val="Normal"/>
        <w:numPr>
          <w:ilvl w:val="0"/>
          <w:numId w:val="0"/>
        </w:numPr>
        <w:ind w:hanging="0" w:start="360" w:end="0"/>
        <w:jc w:val="both"/>
        <w:rPr/>
      </w:pPr>
      <w:r>
        <w:rPr>
          <w:b/>
          <w:i/>
          <w:iCs/>
        </w:rPr>
        <w:t xml:space="preserve">Scheduled Quantities Report </w:t>
      </w:r>
      <w:r>
        <w:rPr>
          <w:bCs/>
        </w:rPr>
        <w:t>is under Reports in the menu bar</w:t>
      </w:r>
      <w:r>
        <w:rPr>
          <w:b/>
          <w:i/>
          <w:iCs/>
        </w:rPr>
        <w:t xml:space="preserve">.  </w:t>
      </w:r>
      <w:r>
        <w:rPr>
          <w:bCs/>
        </w:rPr>
        <w:t>Shipper can retrieve the report by contract or all contracts by selecting ID.  Operator can retrieve report by location or all locations by selecting the ID.</w:t>
      </w:r>
    </w:p>
    <w:p>
      <w:pPr>
        <w:pStyle w:val="Normal"/>
        <w:spacing w:before="100" w:after="100"/>
        <w:ind w:start="360" w:end="0"/>
        <w:rPr>
          <w:bCs/>
        </w:rPr>
      </w:pPr>
      <w:r>
        <w:rPr/>
        <w:t xml:space="preserve"> </w:t>
      </w:r>
      <w:r>
        <w:rPr>
          <w:b/>
          <w:bCs/>
          <w:i/>
          <w:iCs/>
        </w:rPr>
        <w:t>Service Requester Scheduled Quantity Report</w:t>
      </w:r>
      <w:r>
        <w:rPr/>
        <w:t xml:space="preserve"> is the selection after the Scheduled Quantities Report.  Select either Scheduled Quantity For Svc Req – Daily or Scheduled Quantity For Svc Req – Date Range option. To generate either report, select a specific contract number or all contracts by selecting by ID number.  </w:t>
      </w:r>
    </w:p>
    <w:p>
      <w:pPr>
        <w:pStyle w:val="Normal"/>
        <w:numPr>
          <w:ilvl w:val="0"/>
          <w:numId w:val="0"/>
        </w:numPr>
        <w:ind w:hanging="0" w:start="300" w:end="0"/>
        <w:jc w:val="both"/>
        <w:rPr/>
      </w:pPr>
      <w:r>
        <w:rPr>
          <w:b/>
        </w:rPr>
        <w:t xml:space="preserve"> </w:t>
      </w:r>
      <w:r>
        <w:rPr>
          <w:b/>
          <w:i/>
          <w:iCs/>
        </w:rPr>
        <w:t>Contract Storage Balance By Day Report</w:t>
      </w:r>
      <w:r>
        <w:rPr/>
        <w:t xml:space="preserve"> </w:t>
      </w:r>
      <w:r>
        <w:rPr>
          <w:b/>
          <w:bCs/>
        </w:rPr>
        <w:t xml:space="preserve">(NNG Only) </w:t>
      </w:r>
      <w:r>
        <w:rPr/>
        <w:t>displays your nominated and scheduled quantities for a particular storage contract and gas day.  This report also displays month-to-date totals for your contract.</w:t>
      </w:r>
    </w:p>
    <w:p>
      <w:pPr>
        <w:pStyle w:val="Normal"/>
        <w:numPr>
          <w:ilvl w:val="0"/>
          <w:numId w:val="0"/>
        </w:numPr>
        <w:ind w:hanging="0" w:start="300" w:end="0"/>
        <w:jc w:val="both"/>
        <w:rPr/>
      </w:pPr>
      <w:r>
        <w:rPr/>
      </w:r>
    </w:p>
    <w:p>
      <w:pPr>
        <w:pStyle w:val="BodyText3"/>
        <w:ind w:start="240" w:end="0"/>
        <w:rPr/>
      </w:pPr>
      <w:r>
        <w:rPr/>
        <w:t xml:space="preserve">FGT Daily Balance Report) (FGT Only) </w:t>
      </w:r>
      <w:r>
        <w:rPr>
          <w:b w:val="false"/>
          <w:bCs w:val="false"/>
          <w:i w:val="false"/>
          <w:iCs w:val="false"/>
        </w:rPr>
        <w:t>This report is under Reports in the menu bar and the selection after  the Service Requester Scheduled Quantity Report .  Operators can view scheduled quantities vs. actual flow in the supply area.</w:t>
      </w:r>
    </w:p>
    <w:p>
      <w:pPr>
        <w:pStyle w:val="BodyText3"/>
        <w:ind w:firstLine="300" w:end="0"/>
        <w:rPr>
          <w:bCs w:val="false"/>
        </w:rPr>
      </w:pPr>
      <w:r>
        <w:rPr/>
        <w:br/>
      </w:r>
    </w:p>
    <w:p>
      <w:pPr>
        <w:pStyle w:val="Normal"/>
        <w:numPr>
          <w:ilvl w:val="0"/>
          <w:numId w:val="0"/>
        </w:numPr>
        <w:ind w:hanging="0" w:start="360" w:end="0"/>
        <w:jc w:val="both"/>
        <w:rPr>
          <w:bCs/>
        </w:rPr>
      </w:pPr>
      <w:r>
        <w:rPr>
          <w:bCs/>
        </w:rPr>
      </w:r>
    </w:p>
    <w:p>
      <w:pPr>
        <w:pStyle w:val="Normal"/>
        <w:ind w:start="300" w:end="0"/>
        <w:jc w:val="both"/>
        <w:rPr>
          <w:b/>
          <w:color w:val="0000FF"/>
          <w:sz w:val="28"/>
          <w:u w:val="single"/>
        </w:rPr>
      </w:pPr>
      <w:r>
        <w:rPr>
          <w:b/>
          <w:color w:val="0000FF"/>
          <w:sz w:val="28"/>
          <w:u w:val="single"/>
        </w:rPr>
        <w:t>Storage (NNG Only)</w:t>
      </w:r>
    </w:p>
    <w:p>
      <w:pPr>
        <w:pStyle w:val="Normal"/>
        <w:ind w:start="300" w:end="0"/>
        <w:jc w:val="both"/>
        <w:rPr>
          <w:b/>
          <w:color w:val="0000FF"/>
          <w:sz w:val="28"/>
          <w:u w:val="single"/>
        </w:rPr>
      </w:pPr>
      <w:r>
        <w:rPr>
          <w:b/>
          <w:color w:val="0000FF"/>
          <w:sz w:val="28"/>
          <w:u w:val="single"/>
        </w:rPr>
      </w:r>
    </w:p>
    <w:p>
      <w:pPr>
        <w:pStyle w:val="body1"/>
        <w:ind w:start="300" w:end="0"/>
        <w:rPr/>
      </w:pPr>
      <w:r>
        <w:rPr>
          <w:rFonts w:cs="Times New Roman" w:ascii="Times New Roman" w:hAnsi="Times New Roman"/>
          <w:b/>
          <w:bCs/>
          <w:i/>
          <w:iCs/>
          <w:color w:val="000000"/>
          <w:sz w:val="20"/>
        </w:rPr>
        <w:t>FDD Contract Balance</w:t>
      </w:r>
      <w:r>
        <w:rPr/>
        <w:t xml:space="preserve"> </w:t>
      </w:r>
      <w:r>
        <w:rPr>
          <w:rFonts w:cs="Times New Roman" w:ascii="Times New Roman" w:hAnsi="Times New Roman"/>
          <w:sz w:val="20"/>
        </w:rPr>
        <w:t>screen will display, real-time, nomination and scheduling activity on a selected contract and how such activity has affected the service requester’s firm storage balance.  Due to the volume of information provided, you must use the scroll bar in the Matrix area of the screen to view all available parameters</w:t>
      </w:r>
      <w:r>
        <w:rPr>
          <w:sz w:val="20"/>
        </w:rPr>
        <w:t>.</w:t>
      </w:r>
    </w:p>
    <w:p>
      <w:pPr>
        <w:pStyle w:val="body1"/>
        <w:ind w:start="300" w:end="0"/>
        <w:rPr>
          <w:sz w:val="20"/>
        </w:rPr>
      </w:pPr>
      <w:r>
        <w:rPr>
          <w:sz w:val="20"/>
        </w:rPr>
      </w:r>
    </w:p>
    <w:p>
      <w:pPr>
        <w:pStyle w:val="Normal"/>
        <w:ind w:start="300" w:end="0"/>
        <w:rPr/>
      </w:pPr>
      <w:r>
        <w:rPr>
          <w:b/>
          <w:bCs/>
          <w:i/>
          <w:iCs/>
        </w:rPr>
        <w:t>IDD/P-N-R Contract Balance</w:t>
      </w:r>
      <w:r>
        <w:rPr/>
        <w:t xml:space="preserve"> </w:t>
      </w:r>
      <w:r>
        <w:rPr>
          <w:b/>
          <w:bCs/>
          <w:i/>
          <w:iCs/>
        </w:rPr>
        <w:t>(NNG &amp; FGT Only</w:t>
      </w:r>
      <w:r>
        <w:rPr>
          <w:b/>
          <w:bCs/>
        </w:rPr>
        <w:t>)</w:t>
      </w:r>
      <w:r>
        <w:rPr/>
        <w:t xml:space="preserve"> screen will to display the activity nominated and scheduled on the selected contract and how such activity has affected service requesters’ interruptible storage balance.  In addition to providing service requesters with real-time account status, additional contract parameters are displayed by scrolling to the right.</w:t>
      </w:r>
    </w:p>
    <w:p>
      <w:pPr>
        <w:pStyle w:val="Normal"/>
        <w:ind w:start="300" w:end="0"/>
        <w:rPr/>
      </w:pPr>
      <w:r>
        <w:rPr/>
      </w:r>
    </w:p>
    <w:p>
      <w:pPr>
        <w:pStyle w:val="Normal"/>
        <w:ind w:start="300" w:end="0"/>
        <w:rPr/>
      </w:pPr>
      <w:r>
        <w:rPr>
          <w:b/>
          <w:bCs/>
          <w:i/>
          <w:iCs/>
        </w:rPr>
        <w:t>Storage Netting</w:t>
      </w:r>
      <w:r>
        <w:fldChar w:fldCharType="begin"/>
      </w:r>
      <w:r>
        <w:rPr/>
        <w:instrText xml:space="preserve"> XE "Netting" </w:instrText>
      </w:r>
      <w:r>
        <w:rPr/>
        <w:fldChar w:fldCharType="separate"/>
      </w:r>
      <w:r>
        <w:rPr/>
      </w:r>
      <w:r>
        <w:rPr/>
        <w:fldChar w:fldCharType="end"/>
      </w:r>
      <w:r>
        <w:rPr>
          <w:b/>
          <w:bCs/>
          <w:i/>
          <w:iCs/>
        </w:rPr>
        <w:t xml:space="preserve"> at a Location</w:t>
      </w:r>
      <w:r>
        <w:rPr/>
        <w:t xml:space="preserve"> </w:t>
      </w:r>
      <w:r>
        <w:rPr>
          <w:b/>
          <w:bCs/>
          <w:i/>
          <w:iCs/>
        </w:rPr>
        <w:t>(NNG Only)</w:t>
      </w:r>
      <w:r>
        <w:rPr/>
        <w:t xml:space="preserve"> is the process of minimizing the amount of gas withdrawn from or injected into storage.  It is applicable to both customer nominated/scheduled storage quantities and storage quantities scheduled as the result of storage balancing activity.  Netting requires shippers to specify the contracts across a legal entity that they want to net prior to the Final AM deadline, and it allows shippers to “net” storage injection and withdrawal activities at a storage location each gas day.  Storage Netting for a specific gas day can be copied to a future gas day or range of days.</w:t>
      </w:r>
    </w:p>
    <w:p>
      <w:pPr>
        <w:pStyle w:val="Normal"/>
        <w:ind w:start="300" w:end="0"/>
        <w:jc w:val="both"/>
        <w:rPr>
          <w:b/>
          <w:color w:val="0000FF"/>
          <w:sz w:val="28"/>
          <w:u w:val="single"/>
        </w:rPr>
      </w:pPr>
      <w:r>
        <w:rPr>
          <w:b/>
          <w:color w:val="0000FF"/>
          <w:sz w:val="28"/>
          <w:u w:val="single"/>
        </w:rPr>
      </w:r>
    </w:p>
    <w:p>
      <w:pPr>
        <w:pStyle w:val="Normal"/>
        <w:ind w:start="300" w:end="0"/>
        <w:jc w:val="both"/>
        <w:rPr>
          <w:b/>
          <w:color w:val="0000FF"/>
          <w:sz w:val="28"/>
          <w:u w:val="single"/>
        </w:rPr>
      </w:pPr>
      <w:r>
        <w:rPr>
          <w:b/>
          <w:color w:val="0000FF"/>
          <w:sz w:val="28"/>
          <w:u w:val="single"/>
        </w:rPr>
      </w:r>
      <w:r>
        <w:br w:type="page"/>
      </w:r>
    </w:p>
    <w:p>
      <w:pPr>
        <w:pStyle w:val="Normal"/>
        <w:jc w:val="both"/>
        <w:rPr>
          <w:b/>
          <w:color w:val="0000FF"/>
          <w:sz w:val="28"/>
          <w:u w:val="single"/>
        </w:rPr>
      </w:pPr>
      <w:r>
        <w:rPr>
          <w:b/>
          <w:color w:val="0000FF"/>
          <w:sz w:val="28"/>
          <w:u w:val="single"/>
        </w:rPr>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color w:val="FF0000"/>
        <w:sz w:val="40"/>
      </w:rPr>
    </w:pPr>
    <w:r>
      <w:rPr>
        <w:b/>
        <w:bCs/>
        <w:color w:val="FF0000"/>
        <w:sz w:val="40"/>
      </w:rPr>
      <w:t>T M S   Q U I C K    T I P 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0" w:start="720" w:end="0"/>
      <w:outlineLvl w:val="1"/>
    </w:pPr>
    <w:rPr>
      <w:sz w:val="24"/>
    </w:rPr>
  </w:style>
  <w:style w:type="paragraph" w:styleId="Heading3">
    <w:name w:val="heading 3"/>
    <w:basedOn w:val="Normal"/>
    <w:next w:val="Normal"/>
    <w:qFormat/>
    <w:pPr>
      <w:keepNext w:val="true"/>
      <w:numPr>
        <w:ilvl w:val="2"/>
        <w:numId w:val="1"/>
      </w:numPr>
      <w:ind w:hanging="0" w:start="360" w:end="-1800"/>
      <w:outlineLvl w:val="2"/>
    </w:pPr>
    <w:rPr>
      <w:sz w:val="24"/>
    </w:rPr>
  </w:style>
  <w:style w:type="paragraph" w:styleId="Heading4">
    <w:name w:val="heading 4"/>
    <w:basedOn w:val="Normal"/>
    <w:next w:val="Normal"/>
    <w:qFormat/>
    <w:pPr>
      <w:keepNext w:val="true"/>
      <w:numPr>
        <w:ilvl w:val="3"/>
        <w:numId w:val="1"/>
      </w:numPr>
      <w:ind w:hanging="0" w:start="360" w:end="0"/>
      <w:jc w:val="both"/>
      <w:outlineLvl w:val="3"/>
    </w:pPr>
    <w:rPr>
      <w:b/>
      <w:i/>
      <w:iCs/>
      <w:sz w:val="24"/>
    </w:rPr>
  </w:style>
  <w:style w:type="paragraph" w:styleId="Heading5">
    <w:name w:val="heading 5"/>
    <w:basedOn w:val="Normal"/>
    <w:next w:val="Normal"/>
    <w:qFormat/>
    <w:pPr>
      <w:keepNext w:val="true"/>
      <w:numPr>
        <w:ilvl w:val="4"/>
        <w:numId w:val="1"/>
      </w:numPr>
      <w:outlineLvl w:val="4"/>
    </w:pPr>
    <w:rPr>
      <w:b/>
      <w:bCs/>
      <w:i/>
      <w:iCs/>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0" w:start="360" w:end="0"/>
      <w:outlineLvl w:val="6"/>
    </w:pPr>
    <w:rPr>
      <w:b/>
      <w:bCs/>
      <w:i/>
      <w:iCs/>
      <w:sz w:val="24"/>
    </w:rPr>
  </w:style>
  <w:style w:type="paragraph" w:styleId="Heading8">
    <w:name w:val="heading 8"/>
    <w:basedOn w:val="Normal"/>
    <w:next w:val="Normal"/>
    <w:qFormat/>
    <w:pPr>
      <w:keepNext w:val="true"/>
      <w:numPr>
        <w:ilvl w:val="7"/>
        <w:numId w:val="1"/>
      </w:numPr>
      <w:ind w:firstLine="360" w:start="0" w:end="0"/>
      <w:outlineLvl w:val="7"/>
    </w:pPr>
    <w:rPr>
      <w:b/>
      <w:sz w:val="24"/>
    </w:rPr>
  </w:style>
  <w:style w:type="paragraph" w:styleId="Heading9">
    <w:name w:val="heading 9"/>
    <w:basedOn w:val="Normal"/>
    <w:next w:val="Normal"/>
    <w:qFormat/>
    <w:pPr>
      <w:keepNext w:val="true"/>
      <w:numPr>
        <w:ilvl w:val="8"/>
        <w:numId w:val="1"/>
      </w:numPr>
      <w:ind w:hanging="360" w:start="360" w:end="0"/>
      <w:outlineLvl w:val="8"/>
    </w:pPr>
    <w:rPr>
      <w:b/>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b/>
      <w:i w:val="false"/>
      <w:sz w:val="18"/>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ind w:hanging="360" w:start="1080" w:end="0"/>
    </w:pPr>
    <w:rPr/>
  </w:style>
  <w:style w:type="paragraph" w:styleId="BodyTextIndent2">
    <w:name w:val="Body Text Indent 2"/>
    <w:basedOn w:val="Normal"/>
    <w:qFormat/>
    <w:pPr>
      <w:numPr>
        <w:ilvl w:val="0"/>
        <w:numId w:val="0"/>
      </w:numPr>
      <w:ind w:hanging="0" w:start="720" w:end="0"/>
    </w:pPr>
    <w:rPr/>
  </w:style>
  <w:style w:type="paragraph" w:styleId="BodyTextIndent3">
    <w:name w:val="Body Text Indent 3"/>
    <w:basedOn w:val="Normal"/>
    <w:qFormat/>
    <w:pPr>
      <w:numPr>
        <w:ilvl w:val="0"/>
        <w:numId w:val="0"/>
      </w:numPr>
      <w:ind w:hanging="36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rPr>
  </w:style>
  <w:style w:type="paragraph" w:styleId="body1">
    <w:name w:val="body1"/>
    <w:basedOn w:val="Normal"/>
    <w:qFormat/>
    <w:pPr>
      <w:spacing w:before="60" w:after="60"/>
    </w:pPr>
    <w:rPr>
      <w:rFonts w:ascii="Garamond" w:hAnsi="Garamond" w:cs="Garamond"/>
      <w:color w:val="000000"/>
      <w:sz w:val="24"/>
    </w:rPr>
  </w:style>
  <w:style w:type="paragraph" w:styleId="body2">
    <w:name w:val="body2"/>
    <w:basedOn w:val="body1"/>
    <w:qFormat/>
    <w:pPr>
      <w:tabs>
        <w:tab w:val="clear" w:pos="720"/>
        <w:tab w:val="left" w:pos="1440" w:leader="none"/>
      </w:tabs>
      <w:ind w:hanging="720" w:start="720" w:end="0"/>
    </w:pPr>
    <w:rPr/>
  </w:style>
  <w:style w:type="paragraph" w:styleId="note">
    <w:name w:val="note"/>
    <w:qFormat/>
    <w:pPr>
      <w:widowControl/>
      <w:pBdr>
        <w:top w:val="single" w:sz="6" w:space="5" w:color="000000" w:shadow="1"/>
        <w:left w:val="single" w:sz="6" w:space="5" w:color="000000" w:shadow="1"/>
        <w:bottom w:val="single" w:sz="6" w:space="5" w:color="000000" w:shadow="1"/>
        <w:right w:val="single" w:sz="6" w:space="5" w:color="000000" w:shadow="1"/>
      </w:pBdr>
      <w:shd w:fill="F2F2F2" w:val="clear"/>
      <w:bidi w:val="0"/>
      <w:spacing w:before="60" w:after="60"/>
      <w:ind w:hanging="1440" w:start="1440" w:end="0"/>
    </w:pPr>
    <w:rPr>
      <w:rFonts w:ascii="Times New Roman" w:hAnsi="Times New Roman" w:eastAsia="Times New Roman" w:cs="Times New Roman"/>
      <w:i/>
      <w:color w:val="000000"/>
      <w:sz w:val="24"/>
      <w:szCs w:val="20"/>
      <w:lang w:val="en-US" w:bidi="ar-SA" w:eastAsia="zh-CN"/>
    </w:rPr>
  </w:style>
  <w:style w:type="paragraph" w:styleId="box-b3">
    <w:name w:val="box-b3"/>
    <w:qFormat/>
    <w:pPr>
      <w:widowControl/>
      <w:numPr>
        <w:ilvl w:val="0"/>
        <w:numId w:val="4"/>
      </w:numPr>
      <w:bidi w:val="0"/>
      <w:spacing w:before="60" w:after="60"/>
    </w:pPr>
    <w:rPr>
      <w:rFonts w:ascii="Garamond" w:hAnsi="Garamond" w:eastAsia="Times New Roman" w:cs="Garamond"/>
      <w:color w:val="000000"/>
      <w:sz w:val="24"/>
      <w:szCs w:val="20"/>
      <w:lang w:val="en-US" w:bidi="ar-SA" w:eastAsia="zh-CN"/>
    </w:rPr>
  </w:style>
  <w:style w:type="paragraph" w:styleId="BodyText3">
    <w:name w:val="Body Text 3"/>
    <w:basedOn w:val="Normal"/>
    <w:qFormat/>
    <w:pPr/>
    <w:rPr>
      <w:b/>
      <w:bCs/>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2001-08-21T11:17:00Z</dcterms:created>
  <dc:creator>Cliff Giles</dc:creator>
  <dc:description/>
  <dc:language>en-CA</dc:language>
  <cp:lastModifiedBy>mmathes</cp:lastModifiedBy>
  <cp:lastPrinted>2001-09-04T08:12:00Z</cp:lastPrinted>
  <dcterms:modified xsi:type="dcterms:W3CDTF">2001-09-04T13:16:00Z</dcterms:modified>
  <cp:revision>13</cp:revision>
  <dc:subject/>
  <dc:title>HANDS ON TRAINING</dc:title>
</cp:coreProperties>
</file>