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60"/>
        <w:ind w:hanging="0" w:start="0"/>
        <w:rPr>
          <w:sz w:val="24"/>
        </w:rPr>
      </w:pPr>
      <w:r>
        <w:rPr>
          <w:sz w:val="24"/>
        </w:rPr>
        <w:t>NNG Request for Operator Choice Form</w:t>
      </w:r>
    </w:p>
    <w:p>
      <w:pPr>
        <w:pStyle w:val="body1"/>
        <w:rPr/>
      </w:pPr>
      <w:r>
        <w:rPr/>
        <w:t>Three choices for confirming at a location are offered:  (1) Active Confirmation, (2) Passive Confirmation, and (3) Confirmation by Exception.</w:t>
      </w:r>
    </w:p>
    <w:tbl>
      <w:tblPr>
        <w:tblW w:w="9108" w:type="dxa"/>
        <w:jc w:val="start"/>
        <w:tblInd w:w="0" w:type="dxa"/>
        <w:tblLayout w:type="fixed"/>
        <w:tblCellMar>
          <w:top w:w="0" w:type="dxa"/>
          <w:start w:w="108" w:type="dxa"/>
          <w:bottom w:w="0" w:type="dxa"/>
          <w:end w:w="108" w:type="dxa"/>
        </w:tblCellMar>
      </w:tblPr>
      <w:tblGrid>
        <w:gridCol w:w="1728"/>
        <w:gridCol w:w="7380"/>
      </w:tblGrid>
      <w:tr>
        <w:trPr/>
        <w:tc>
          <w:tcPr>
            <w:tcW w:w="1728" w:type="dxa"/>
            <w:tcBorders>
              <w:top w:val="single" w:sz="4" w:space="0" w:color="000000"/>
              <w:start w:val="single" w:sz="4" w:space="0" w:color="000000"/>
              <w:bottom w:val="single" w:sz="4" w:space="0" w:color="000000"/>
              <w:end w:val="single" w:sz="4" w:space="0" w:color="000000"/>
            </w:tcBorders>
          </w:tcPr>
          <w:p>
            <w:pPr>
              <w:pStyle w:val="body1"/>
              <w:spacing w:before="60" w:after="60"/>
              <w:rPr>
                <w:b/>
                <w:sz w:val="20"/>
              </w:rPr>
            </w:pPr>
            <w:r>
              <w:rPr>
                <w:b/>
                <w:sz w:val="20"/>
              </w:rPr>
              <w:t>Active Confirmation</w:t>
            </w:r>
          </w:p>
        </w:tc>
        <w:tc>
          <w:tcPr>
            <w:tcW w:w="738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sz w:val="20"/>
              </w:rPr>
            </w:pPr>
            <w:r>
              <w:rPr>
                <w:sz w:val="20"/>
              </w:rPr>
              <w:t xml:space="preserve">The operator or agent for a location actively confirms all nominations at all locations during all </w:t>
            </w:r>
            <w:r>
              <w:rPr>
                <w:b/>
                <w:sz w:val="20"/>
              </w:rPr>
              <w:t>Cycles.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body1"/>
              <w:spacing w:before="60" w:after="60"/>
              <w:rPr>
                <w:b/>
                <w:sz w:val="20"/>
              </w:rPr>
            </w:pPr>
            <w:r>
              <w:rPr>
                <w:b/>
                <w:sz w:val="20"/>
              </w:rPr>
              <w:t>Passive Confirmation</w:t>
            </w:r>
          </w:p>
        </w:tc>
        <w:tc>
          <w:tcPr>
            <w:tcW w:w="738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sz w:val="20"/>
              </w:rPr>
              <w:t xml:space="preserve">The operator or agent for a location actively confirms nominations at all locations in the </w:t>
            </w:r>
            <w:r>
              <w:rPr>
                <w:b/>
                <w:sz w:val="20"/>
              </w:rPr>
              <w:t>Timely Cycle</w:t>
            </w:r>
            <w:r>
              <w:rPr>
                <w:sz w:val="20"/>
              </w:rPr>
              <w:t>.  The Operator will not be required to confirm during the Intraday Cycles.</w:t>
              <w:br/>
              <w:t>The confirmation quantity from the previous Cycle will be copied to the next Cycle.</w:t>
            </w:r>
          </w:p>
        </w:tc>
      </w:tr>
      <w:tr>
        <w:trPr/>
        <w:tc>
          <w:tcPr>
            <w:tcW w:w="1728" w:type="dxa"/>
            <w:tcBorders>
              <w:top w:val="single" w:sz="4" w:space="0" w:color="000000"/>
              <w:start w:val="single" w:sz="4" w:space="0" w:color="000000"/>
              <w:bottom w:val="single" w:sz="4" w:space="0" w:color="000000"/>
              <w:end w:val="single" w:sz="4" w:space="0" w:color="000000"/>
            </w:tcBorders>
          </w:tcPr>
          <w:p>
            <w:pPr>
              <w:pStyle w:val="body1"/>
              <w:spacing w:before="60" w:after="60"/>
              <w:rPr>
                <w:b/>
                <w:sz w:val="20"/>
              </w:rPr>
            </w:pPr>
            <w:r>
              <w:rPr>
                <w:b/>
                <w:sz w:val="20"/>
              </w:rPr>
              <w:t>Confirmation by Exception</w:t>
            </w:r>
          </w:p>
        </w:tc>
        <w:tc>
          <w:tcPr>
            <w:tcW w:w="738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sz w:val="20"/>
              </w:rPr>
              <w:t xml:space="preserve">NNG will automatically confirm </w:t>
            </w:r>
            <w:r>
              <w:rPr>
                <w:b/>
                <w:sz w:val="20"/>
              </w:rPr>
              <w:t xml:space="preserve">ALL NOMINATIONS </w:t>
            </w:r>
            <w:r>
              <w:rPr>
                <w:sz w:val="20"/>
              </w:rPr>
              <w:t>for the operator’s or the agent’s specified location(s).  All confirmed quantities will equal nominated quantities for all cycles.  Operators will be able to change any confirmation that is automatically confirmed by NNG during any cycle.  Any manual change made by the operator will remain in place for the entire gas day.</w:t>
            </w:r>
          </w:p>
        </w:tc>
      </w:tr>
    </w:tbl>
    <w:p>
      <w:pPr>
        <w:pStyle w:val="body1"/>
        <w:spacing w:before="240" w:after="60"/>
        <w:rPr>
          <w:sz w:val="20"/>
        </w:rPr>
      </w:pPr>
      <w:r>
        <w:rPr>
          <w:sz w:val="20"/>
        </w:rPr>
        <w:t>I _________________________ (operator or agent) request the confirmation options that I have specified in the table below.  (Only locations listed in the table below will be changed.)</w:t>
      </w:r>
    </w:p>
    <w:p>
      <w:pPr>
        <w:pStyle w:val="body1"/>
        <w:rPr/>
      </w:pPr>
      <w:r>
        <w:rPr>
          <w:sz w:val="20"/>
        </w:rPr>
        <w:t xml:space="preserve">I understand that if I make no selection, the Operator Confirmation Choice option will default to </w:t>
      </w:r>
      <w:r>
        <w:rPr>
          <w:b/>
          <w:sz w:val="20"/>
        </w:rPr>
        <w:t>Active Confirmation</w:t>
      </w:r>
      <w:r>
        <w:rPr>
          <w:sz w:val="20"/>
        </w:rPr>
        <w:t>.</w:t>
      </w:r>
    </w:p>
    <w:p>
      <w:pPr>
        <w:pStyle w:val="body1"/>
        <w:spacing w:before="0" w:after="60"/>
        <w:rPr>
          <w:sz w:val="20"/>
        </w:rPr>
      </w:pPr>
      <w:r>
        <w:rPr>
          <w:sz w:val="20"/>
        </w:rPr>
        <w:t>_______</w:t>
      </w:r>
      <w:r>
        <w:rPr>
          <w:b/>
          <w:sz w:val="20"/>
        </w:rPr>
        <w:t>New Request</w:t>
      </w:r>
    </w:p>
    <w:p>
      <w:pPr>
        <w:pStyle w:val="body1"/>
        <w:spacing w:before="0" w:after="120"/>
        <w:rPr>
          <w:sz w:val="20"/>
        </w:rPr>
      </w:pPr>
      <w:r>
        <w:rPr>
          <w:sz w:val="20"/>
        </w:rPr>
        <w:t>_______</w:t>
      </w:r>
      <w:r>
        <w:rPr>
          <w:b/>
          <w:sz w:val="20"/>
        </w:rPr>
        <w:t>Modification of Existing Operator Confirmation Choice Option</w:t>
      </w:r>
    </w:p>
    <w:tbl>
      <w:tblPr>
        <w:tblW w:w="8925" w:type="dxa"/>
        <w:jc w:val="start"/>
        <w:tblInd w:w="0" w:type="dxa"/>
        <w:tblLayout w:type="fixed"/>
        <w:tblCellMar>
          <w:top w:w="0" w:type="dxa"/>
          <w:start w:w="108" w:type="dxa"/>
          <w:bottom w:w="0" w:type="dxa"/>
          <w:end w:w="108" w:type="dxa"/>
        </w:tblCellMar>
      </w:tblPr>
      <w:tblGrid>
        <w:gridCol w:w="4338"/>
        <w:gridCol w:w="1260"/>
        <w:gridCol w:w="990"/>
        <w:gridCol w:w="990"/>
        <w:gridCol w:w="1347"/>
      </w:tblGrid>
      <w:tr>
        <w:trPr/>
        <w:tc>
          <w:tcPr>
            <w:tcW w:w="4338" w:type="dxa"/>
            <w:tcBorders>
              <w:top w:val="single" w:sz="12" w:space="0" w:color="000000"/>
              <w:start w:val="single" w:sz="12" w:space="0" w:color="000000"/>
              <w:bottom w:val="double" w:sz="12" w:space="0" w:color="000000"/>
              <w:end w:val="single" w:sz="6" w:space="0" w:color="000000"/>
            </w:tcBorders>
            <w:shd w:fill="DFDFDF" w:val="clear"/>
          </w:tcPr>
          <w:p>
            <w:pPr>
              <w:pStyle w:val="TableHeading2"/>
              <w:widowControl/>
              <w:bidi w:val="0"/>
              <w:spacing w:before="100" w:after="0"/>
              <w:jc w:val="center"/>
              <w:rPr/>
            </w:pPr>
            <w:r>
              <w:rPr/>
              <w:t>Location Name</w:t>
            </w:r>
          </w:p>
        </w:tc>
        <w:tc>
          <w:tcPr>
            <w:tcW w:w="1260" w:type="dxa"/>
            <w:tcBorders>
              <w:top w:val="single" w:sz="12" w:space="0" w:color="000000"/>
              <w:start w:val="single" w:sz="6" w:space="0" w:color="000000"/>
              <w:bottom w:val="double" w:sz="12" w:space="0" w:color="000000"/>
              <w:end w:val="single" w:sz="6" w:space="0" w:color="000000"/>
            </w:tcBorders>
            <w:shd w:fill="DFDFDF" w:val="clear"/>
          </w:tcPr>
          <w:p>
            <w:pPr>
              <w:pStyle w:val="TableHeading2"/>
              <w:widowControl/>
              <w:bidi w:val="0"/>
              <w:spacing w:before="100" w:after="0"/>
              <w:jc w:val="center"/>
              <w:rPr/>
            </w:pPr>
            <w:r>
              <w:rPr/>
              <w:t>Loc/DRN#</w:t>
            </w:r>
          </w:p>
        </w:tc>
        <w:tc>
          <w:tcPr>
            <w:tcW w:w="990" w:type="dxa"/>
            <w:tcBorders>
              <w:top w:val="single" w:sz="12" w:space="0" w:color="000000"/>
              <w:start w:val="single" w:sz="6" w:space="0" w:color="000000"/>
              <w:bottom w:val="double" w:sz="12" w:space="0" w:color="000000"/>
              <w:end w:val="single" w:sz="6" w:space="0" w:color="000000"/>
            </w:tcBorders>
            <w:shd w:fill="DFDFDF" w:val="clear"/>
          </w:tcPr>
          <w:p>
            <w:pPr>
              <w:pStyle w:val="TableHeading2"/>
              <w:widowControl/>
              <w:bidi w:val="0"/>
              <w:spacing w:before="100" w:after="0"/>
              <w:jc w:val="center"/>
              <w:rPr/>
            </w:pPr>
            <w:r>
              <w:rPr/>
              <w:t>Passive</w:t>
            </w:r>
          </w:p>
        </w:tc>
        <w:tc>
          <w:tcPr>
            <w:tcW w:w="990" w:type="dxa"/>
            <w:tcBorders>
              <w:top w:val="single" w:sz="12" w:space="0" w:color="000000"/>
              <w:start w:val="single" w:sz="6" w:space="0" w:color="000000"/>
              <w:bottom w:val="double" w:sz="12" w:space="0" w:color="000000"/>
              <w:end w:val="single" w:sz="6" w:space="0" w:color="000000"/>
            </w:tcBorders>
            <w:shd w:fill="DFDFDF" w:val="clear"/>
          </w:tcPr>
          <w:p>
            <w:pPr>
              <w:pStyle w:val="TableHeading2"/>
              <w:widowControl/>
              <w:bidi w:val="0"/>
              <w:spacing w:before="100" w:after="0"/>
              <w:jc w:val="center"/>
              <w:rPr/>
            </w:pPr>
            <w:r>
              <w:rPr/>
              <w:t>Active</w:t>
            </w:r>
          </w:p>
        </w:tc>
        <w:tc>
          <w:tcPr>
            <w:tcW w:w="1347" w:type="dxa"/>
            <w:tcBorders>
              <w:top w:val="single" w:sz="12" w:space="0" w:color="000000"/>
              <w:start w:val="single" w:sz="6" w:space="0" w:color="000000"/>
              <w:bottom w:val="double" w:sz="12" w:space="0" w:color="000000"/>
              <w:end w:val="single" w:sz="12" w:space="0" w:color="000000"/>
            </w:tcBorders>
            <w:shd w:fill="DFDFDF" w:val="clear"/>
          </w:tcPr>
          <w:p>
            <w:pPr>
              <w:pStyle w:val="TableHeading2"/>
              <w:widowControl/>
              <w:bidi w:val="0"/>
              <w:spacing w:before="100" w:after="0"/>
              <w:jc w:val="center"/>
              <w:rPr/>
            </w:pPr>
            <w:r>
              <w:rPr/>
              <w:t>Confirm by Exception</w:t>
            </w:r>
          </w:p>
        </w:tc>
      </w:tr>
      <w:tr>
        <w:trPr/>
        <w:tc>
          <w:tcPr>
            <w:tcW w:w="4338" w:type="dxa"/>
            <w:tcBorders>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12"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12" w:space="0" w:color="000000"/>
              <w:end w:val="single" w:sz="12" w:space="0" w:color="000000"/>
            </w:tcBorders>
          </w:tcPr>
          <w:p>
            <w:pPr>
              <w:pStyle w:val="body1"/>
              <w:snapToGrid w:val="false"/>
              <w:spacing w:before="60" w:after="20"/>
              <w:rPr>
                <w:sz w:val="20"/>
              </w:rPr>
            </w:pPr>
            <w:r>
              <w:rPr>
                <w:sz w:val="20"/>
              </w:rPr>
            </w:r>
          </w:p>
        </w:tc>
      </w:tr>
    </w:tbl>
    <w:p>
      <w:pPr>
        <w:pStyle w:val="Heading"/>
        <w:spacing w:before="240" w:after="0"/>
        <w:jc w:val="start"/>
        <w:rPr>
          <w:b w:val="false"/>
          <w:sz w:val="20"/>
        </w:rPr>
      </w:pPr>
      <w:r>
        <w:rPr>
          <w:b w:val="false"/>
          <w:sz w:val="20"/>
        </w:rPr>
        <w:t>Operator or Agent designation of the Operator Choice Option may be changed on a monthly basis by written notice two business days prior to the beginning of the month.</w:t>
      </w:r>
    </w:p>
    <w:p>
      <w:pPr>
        <w:pStyle w:val="Heading"/>
        <w:spacing w:before="0" w:after="240"/>
        <w:jc w:val="start"/>
        <w:rPr>
          <w:b w:val="false"/>
          <w:sz w:val="20"/>
        </w:rPr>
      </w:pPr>
      <w:r>
        <w:rPr>
          <w:b w:val="false"/>
          <w:sz w:val="20"/>
        </w:rPr>
        <w:t>On behalf of Operator, the undersigned represents and warrants that the information provided herein is correct to the best of his/her knowledge.</w:t>
      </w:r>
    </w:p>
    <w:p>
      <w:pPr>
        <w:pStyle w:val="Heading"/>
        <w:spacing w:lineRule="auto" w:line="360"/>
        <w:jc w:val="start"/>
        <w:rPr/>
      </w:pPr>
      <w:r>
        <w:rPr>
          <w:sz w:val="20"/>
        </w:rPr>
        <w:t>Operator Name:</w:t>
      </w:r>
      <w:r>
        <w:rPr>
          <w:b w:val="false"/>
          <w:sz w:val="20"/>
        </w:rPr>
        <w:t xml:space="preserve">  ___________________________________________</w:t>
      </w:r>
    </w:p>
    <w:p>
      <w:pPr>
        <w:pStyle w:val="Heading"/>
        <w:spacing w:lineRule="auto" w:line="360"/>
        <w:jc w:val="start"/>
        <w:rPr/>
      </w:pPr>
      <w:r>
        <w:rPr>
          <w:sz w:val="20"/>
        </w:rPr>
        <w:t>Signed By:</w:t>
      </w:r>
      <w:r>
        <w:rPr>
          <w:b w:val="false"/>
          <w:sz w:val="20"/>
        </w:rPr>
        <w:t xml:space="preserve">  _______________________________________________</w:t>
      </w:r>
    </w:p>
    <w:p>
      <w:pPr>
        <w:pStyle w:val="Heading"/>
        <w:spacing w:lineRule="auto" w:line="360"/>
        <w:jc w:val="start"/>
        <w:rPr/>
      </w:pPr>
      <w:r>
        <w:rPr>
          <w:sz w:val="20"/>
        </w:rPr>
        <w:t>Title:</w:t>
      </w:r>
      <w:r>
        <w:rPr>
          <w:b w:val="false"/>
          <w:sz w:val="20"/>
        </w:rPr>
        <w:t xml:space="preserve">  ____________________________________________________</w:t>
      </w:r>
    </w:p>
    <w:p>
      <w:pPr>
        <w:pStyle w:val="body1"/>
        <w:spacing w:before="60" w:after="60"/>
        <w:rPr>
          <w:b/>
          <w:sz w:val="20"/>
        </w:rPr>
      </w:pPr>
      <w:r>
        <w:rPr>
          <w:b/>
          <w:sz w:val="20"/>
        </w:rPr>
        <w:t>Date:  ____________________________________________________</w:t>
      </w:r>
    </w:p>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Rounded MT Bold">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/mnt/main-storage/datasets/enron-docs/doc/NNG_Request_For_Operator_Choice_Form.doc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8:58:45 AM</w:t>
    </w:r>
    <w:r>
      <w:rPr>
        <w:sz w:val="12"/>
        <w:b/>
        <w:rFonts w:cs="Arial" w:ascii="Arial" w:hAnsi="Arial"/>
      </w:rPr>
      <w:fldChar w:fldCharType="end"/>
    </w:r>
    <w:r>
      <w:rPr/>
      <w:tab/>
      <w:t>ETS Request for Operator Choice Form for NNG and TW</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360" w:after="240"/>
      <w:rPr>
        <w:lang w:val="en-CA"/>
      </w:rPr>
    </w:pPr>
    <w:bookmarkStart w:id="0" w:name="_986362471"/>
    <w:bookmarkStart w:id="1" w:name="_986362457"/>
    <w:bookmarkEnd w:id="0"/>
    <w:bookmarkEnd w:id="1"/>
    <w:r>
      <w:rPr>
        <w:lang w:val="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9pt" filled="f" o:ole="">
          <v:imagedata r:id="rId2" o:title=""/>
        </v:shape>
        <o:OLEObject Type="Embed" ProgID="" ShapeID="ole_rId1" DrawAspect="Content" ObjectID="_931244245"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8">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eastAsia="zh-CN" w:bidi="hi-I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30"/>
      <w:szCs w:val="20"/>
      <w:lang w:val="en-US" w:eastAsia="zh-CN" w:bidi="hi-IN"/>
    </w:rPr>
  </w:style>
  <w:style w:type="paragraph" w:styleId="Heading2">
    <w:name w:val="heading 2"/>
    <w:next w:val="body1"/>
    <w:qFormat/>
    <w:pPr>
      <w:keepNext w:val="true"/>
      <w:widowControl/>
      <w:numPr>
        <w:ilvl w:val="1"/>
        <w:numId w:val="1"/>
      </w:numPr>
      <w:bidi w:val="0"/>
      <w:spacing w:before="240" w:after="80"/>
      <w:outlineLvl w:val="1"/>
    </w:pPr>
    <w:rPr>
      <w:rFonts w:ascii="Arial Black" w:hAnsi="Arial Black" w:eastAsia="Times New Roman" w:cs="Arial Black"/>
      <w:color w:val="000080"/>
      <w:sz w:val="26"/>
      <w:szCs w:val="20"/>
      <w:lang w:val="en-US" w:eastAsia="zh-CN" w:bidi="hi-I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0000FF"/>
      <w:sz w:val="24"/>
      <w:szCs w:val="20"/>
      <w:lang w:val="en-US" w:eastAsia="zh-CN" w:bidi="hi-IN"/>
    </w:rPr>
  </w:style>
  <w:style w:type="paragraph" w:styleId="Heading4">
    <w:name w:val="heading 4"/>
    <w:next w:val="body1"/>
    <w:qFormat/>
    <w:pPr>
      <w:keepNext w:val="true"/>
      <w:widowControl/>
      <w:numPr>
        <w:ilvl w:val="3"/>
        <w:numId w:val="1"/>
      </w:numPr>
      <w:bidi w:val="0"/>
      <w:spacing w:before="240" w:after="80"/>
      <w:outlineLvl w:val="3"/>
    </w:pPr>
    <w:rPr>
      <w:rFonts w:ascii="Arial Rounded MT Bold" w:hAnsi="Arial Rounded MT Bold" w:eastAsia="Times New Roman" w:cs="Arial Rounded MT Bold"/>
      <w:b/>
      <w:color w:val="008000"/>
      <w:sz w:val="22"/>
      <w:szCs w:val="20"/>
      <w:lang w:val="en-US" w:eastAsia="zh-CN" w:bidi="hi-IN"/>
    </w:rPr>
  </w:style>
  <w:style w:type="paragraph" w:styleId="Heading5">
    <w:name w:val="heading 5"/>
    <w:next w:val="body1"/>
    <w:qFormat/>
    <w:pPr>
      <w:keepNext w:val="true"/>
      <w:widowControl/>
      <w:numPr>
        <w:ilvl w:val="4"/>
        <w:numId w:val="1"/>
      </w:numPr>
      <w:bidi w:val="0"/>
      <w:spacing w:before="240" w:after="80"/>
      <w:outlineLvl w:val="4"/>
    </w:pPr>
    <w:rPr>
      <w:rFonts w:ascii="Arial" w:hAnsi="Arial" w:eastAsia="Times New Roman" w:cs="Arial"/>
      <w:b/>
      <w:i/>
      <w:color w:val="008000"/>
      <w:sz w:val="22"/>
      <w:szCs w:val="20"/>
      <w:u w:val="thick"/>
      <w:lang w:val="en-US" w:eastAsia="zh-CN" w:bidi="hi-I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Arial" w:hAnsi="Arial" w:cs="Arial"/>
      <w:b w:val="false"/>
      <w:i w:val="false"/>
      <w:color w:val="000080"/>
      <w:sz w:val="24"/>
      <w:u w:val="none"/>
    </w:rPr>
  </w:style>
  <w:style w:type="character" w:styleId="WW8Num7z0">
    <w:name w:val="WW8Num7z0"/>
    <w:qFormat/>
    <w:rPr>
      <w:rFonts w:ascii="Wingdings" w:hAnsi="Wingdings" w:cs="Wingdings"/>
      <w:b/>
      <w:i w:val="false"/>
      <w:sz w:val="18"/>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rFonts w:ascii="Wingdings" w:hAnsi="Wingdings" w:cs="Wingdings"/>
      <w:b/>
      <w:i w:val="false"/>
      <w:sz w:val="18"/>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b/>
      <w:i w:val="false"/>
      <w:sz w:val="18"/>
    </w:rPr>
  </w:style>
  <w:style w:type="character" w:styleId="WW8Num17z0">
    <w:name w:val="WW8Num17z0"/>
    <w:qFormat/>
    <w:rPr/>
  </w:style>
  <w:style w:type="character" w:styleId="WW8Num19z1">
    <w:name w:val="WW8Num19z1"/>
    <w:qFormat/>
    <w:rPr>
      <w:rFonts w:ascii="Arial Black" w:hAnsi="Arial Black" w:cs="Arial Black"/>
      <w:b/>
      <w:i w:val="false"/>
      <w:sz w:val="34"/>
    </w:rPr>
  </w:style>
  <w:style w:type="character" w:styleId="WW8Num20z0">
    <w:name w:val="WW8Num20z0"/>
    <w:qFormat/>
    <w:rPr>
      <w:rFonts w:ascii="Wingdings" w:hAnsi="Wingdings" w:cs="Wingdings"/>
      <w:b/>
      <w:i w:val="false"/>
      <w:sz w:val="18"/>
    </w:rPr>
  </w:style>
  <w:style w:type="character" w:styleId="WW8Num21z0">
    <w:name w:val="WW8Num21z0"/>
    <w:qFormat/>
    <w:rPr/>
  </w:style>
  <w:style w:type="character" w:styleId="WW8Num22z0">
    <w:name w:val="WW8Num22z0"/>
    <w:qFormat/>
    <w:rPr>
      <w:rFonts w:ascii="Wingdings" w:hAnsi="Wingdings" w:cs="Wingdings"/>
      <w:b/>
      <w:i w:val="false"/>
      <w:sz w:val="18"/>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b/>
      <w:i w:val="false"/>
      <w:sz w:val="18"/>
    </w:rPr>
  </w:style>
  <w:style w:type="character" w:styleId="WW8Num25z0">
    <w:name w:val="WW8Num25z0"/>
    <w:qFormat/>
    <w:rPr>
      <w:rFonts w:ascii="Arial" w:hAnsi="Arial" w:cs="Arial"/>
      <w:b w:val="false"/>
      <w:i w:val="false"/>
      <w:color w:val="000080"/>
      <w:sz w:val="24"/>
      <w:u w:val="none"/>
    </w:rPr>
  </w:style>
  <w:style w:type="character" w:styleId="WW8Num26z0">
    <w:name w:val="WW8Num26z0"/>
    <w:qFormat/>
    <w:rPr>
      <w:rFonts w:ascii="Wingdings" w:hAnsi="Wingdings" w:cs="Wingdings"/>
      <w:b/>
      <w:i w:val="false"/>
      <w:sz w:val="18"/>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rFonts w:ascii="Arial" w:hAnsi="Arial" w:cs="Arial"/>
      <w:b w:val="false"/>
      <w:i w:val="false"/>
      <w:color w:val="000080"/>
      <w:sz w:val="24"/>
      <w:u w:val="none"/>
    </w:rPr>
  </w:style>
  <w:style w:type="character" w:styleId="WW8Num31z0">
    <w:name w:val="WW8Num31z0"/>
    <w:qFormat/>
    <w:rPr>
      <w:rFonts w:ascii="Wingdings" w:hAnsi="Wingdings" w:cs="Wingdings"/>
      <w:b/>
      <w:i w:val="false"/>
      <w:sz w:val="18"/>
    </w:rPr>
  </w:style>
  <w:style w:type="character" w:styleId="WW8Num32z0">
    <w:name w:val="WW8Num32z0"/>
    <w:qFormat/>
    <w:rPr>
      <w:rFonts w:ascii="Wingdings" w:hAnsi="Wingdings" w:cs="Wingdings"/>
    </w:rPr>
  </w:style>
  <w:style w:type="character" w:styleId="WW8Num33z0">
    <w:name w:val="WW8Num33z0"/>
    <w:qFormat/>
    <w:rPr>
      <w:rFonts w:ascii="Arial" w:hAnsi="Arial" w:cs="Arial"/>
      <w:b w:val="false"/>
      <w:i w:val="false"/>
      <w:color w:val="000080"/>
      <w:sz w:val="24"/>
      <w:u w:val="none"/>
    </w:rPr>
  </w:style>
  <w:style w:type="character" w:styleId="WW8Num34z0">
    <w:name w:val="WW8Num34z0"/>
    <w:qFormat/>
    <w:rPr>
      <w:rFonts w:ascii="Wingdings" w:hAnsi="Wingdings" w:cs="Wingdings"/>
      <w:b/>
      <w:i w:val="false"/>
      <w:sz w:val="18"/>
    </w:rPr>
  </w:style>
  <w:style w:type="character" w:styleId="WW8Num35z0">
    <w:name w:val="WW8Num35z0"/>
    <w:qFormat/>
    <w:rPr/>
  </w:style>
  <w:style w:type="character" w:styleId="WW8Num36z0">
    <w:name w:val="WW8Num36z0"/>
    <w:qFormat/>
    <w:rPr>
      <w:rFonts w:ascii="Wingdings" w:hAnsi="Wingdings" w:cs="Wingdings"/>
    </w:rPr>
  </w:style>
  <w:style w:type="character" w:styleId="WW8Num37z0">
    <w:name w:val="WW8Num37z0"/>
    <w:qFormat/>
    <w:rPr>
      <w:rFonts w:ascii="Arial" w:hAnsi="Arial" w:cs="Arial"/>
      <w:b w:val="false"/>
      <w:i w:val="false"/>
      <w:color w:val="000080"/>
      <w:sz w:val="24"/>
      <w:u w:val="none"/>
    </w:rPr>
  </w:style>
  <w:style w:type="character" w:styleId="WW8Num38z0">
    <w:name w:val="WW8Num38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eastAsia="zh-CN" w:bidi="hi-I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360" w:after="240"/>
    </w:pPr>
    <w:rPr>
      <w:rFonts w:ascii="Arial Black" w:hAnsi="Arial Black" w:cs="Arial Black"/>
      <w:color w:val="808080"/>
      <w:sz w:val="20"/>
    </w:rPr>
  </w:style>
  <w:style w:type="paragraph" w:styleId="body1">
    <w:name w:val="body1"/>
    <w:qFormat/>
    <w:pPr>
      <w:widowControl/>
      <w:bidi w:val="0"/>
      <w:spacing w:before="60" w:after="60"/>
    </w:pPr>
    <w:rPr>
      <w:rFonts w:ascii="Garamond" w:hAnsi="Garamond" w:eastAsia="Times New Roman" w:cs="Garamond"/>
      <w:color w:val="000000"/>
      <w:sz w:val="24"/>
      <w:szCs w:val="20"/>
      <w:lang w:val="en-US" w:eastAsia="zh-CN" w:bidi="hi-IN"/>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CA" w:eastAsia="zh-CN" w:bidi="hi-IN"/>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 w:hAnsi="Arial Rounded MT Bold" w:cs="Arial Rounded MT Bold"/>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eastAsia="zh-CN" w:bidi="hi-I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eastAsia="zh-CN" w:bidi="hi-I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eastAsia="zh-CN" w:bidi="hi-I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eastAsia="zh-CN" w:bidi="hi-I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eastAsia="zh-CN" w:bidi="hi-I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eastAsia="zh-CN" w:bidi="hi-I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eastAsia="zh-CN" w:bidi="hi-I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eastAsia="zh-CN" w:bidi="hi-I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arrow-b2">
    <w:name w:val="arrow-b2"/>
    <w:qFormat/>
    <w:pPr>
      <w:widowControl/>
      <w:numPr>
        <w:ilvl w:val="0"/>
        <w:numId w:val="5"/>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arrow-b3">
    <w:name w:val="arrow-b3"/>
    <w:qFormat/>
    <w:pPr>
      <w:widowControl/>
      <w:numPr>
        <w:ilvl w:val="0"/>
        <w:numId w:val="7"/>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CA" w:eastAsia="zh-CN" w:bidi="hi-IN"/>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eastAsia="zh-CN" w:bidi="hi-IN"/>
    </w:rPr>
  </w:style>
  <w:style w:type="paragraph" w:styleId="arrow-b4">
    <w:name w:val="arrow-b4"/>
    <w:qFormat/>
    <w:pPr>
      <w:widowControl/>
      <w:numPr>
        <w:ilvl w:val="0"/>
        <w:numId w:val="10"/>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box-b2">
    <w:name w:val="box-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x-b3">
    <w:name w:val="box-b3"/>
    <w:qFormat/>
    <w:pPr>
      <w:widowControl/>
      <w:numPr>
        <w:ilvl w:val="0"/>
        <w:numId w:val="8"/>
      </w:numPr>
      <w:tabs>
        <w:tab w:val="clear" w:pos="720"/>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x-b4">
    <w:name w:val="box-b4"/>
    <w:qFormat/>
    <w:pPr>
      <w:widowControl/>
      <w:numPr>
        <w:ilvl w:val="0"/>
        <w:numId w:val="4"/>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Style11">
    <w:name w:val="Style1"/>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box-b5">
    <w:name w:val="box-b5"/>
    <w:qFormat/>
    <w:pPr>
      <w:widowControl/>
      <w:numPr>
        <w:ilvl w:val="0"/>
        <w:numId w:val="9"/>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CA" w:eastAsia="zh-CN" w:bidi="hi-IN"/>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CA" w:eastAsia="zh-CN" w:bidi="hi-IN"/>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eastAsia="zh-CN" w:bidi="hi-IN"/>
    </w:rPr>
  </w:style>
  <w:style w:type="paragraph" w:styleId="TableText">
    <w:name w:val="Table Text"/>
    <w:qFormat/>
    <w:pPr>
      <w:widowControl/>
      <w:bidi w:val="0"/>
      <w:spacing w:before="120" w:after="20"/>
    </w:pPr>
    <w:rPr>
      <w:rFonts w:ascii="Arial" w:hAnsi="Arial" w:eastAsia="Times New Roman" w:cs="Arial"/>
      <w:color w:val="000000"/>
      <w:sz w:val="20"/>
      <w:szCs w:val="20"/>
      <w:lang w:val="en-US" w:eastAsia="zh-CN" w:bidi="hi-I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eastAsia="zh-CN" w:bidi="hi-IN"/>
    </w:rPr>
  </w:style>
  <w:style w:type="paragraph" w:styleId="tabletext8">
    <w:name w:val="table text 8"/>
    <w:qFormat/>
    <w:pPr>
      <w:widowControl/>
      <w:bidi w:val="0"/>
    </w:pPr>
    <w:rPr>
      <w:rFonts w:ascii="Arial" w:hAnsi="Arial" w:eastAsia="Times New Roman" w:cs="Arial"/>
      <w:color w:val="auto"/>
      <w:sz w:val="16"/>
      <w:szCs w:val="20"/>
      <w:lang w:val="en-US" w:eastAsia="zh-CN" w:bidi="hi-I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CA" w:eastAsia="zh-CN" w:bidi="hi-IN"/>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2000-11-30T19:15:00Z</dcterms:created>
  <dc:creator>ET&amp;S LAN Support</dc:creator>
  <dc:description/>
  <dc:language>en-CA</dc:language>
  <cp:lastModifiedBy>ET&amp;S LAN Support</cp:lastModifiedBy>
  <cp:lastPrinted>2000-12-01T10:21:00Z</cp:lastPrinted>
  <dcterms:modified xsi:type="dcterms:W3CDTF">2000-12-01T13:57:00Z</dcterms:modified>
  <cp:revision>12</cp:revision>
  <dc:subject>ETS Template</dc:subject>
  <dc:title>ETS Template</dc:title>
</cp:coreProperties>
</file>