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pBdr>
          <w:top w:val="single" w:sz="24" w:space="1" w:color="000000"/>
          <w:left w:val="single" w:sz="24" w:space="4" w:color="000000"/>
          <w:bottom w:val="single" w:sz="24" w:space="1" w:color="000000"/>
          <w:right w:val="single" w:sz="24" w:space="4" w:color="000000"/>
        </w:pBdr>
        <w:ind w:hanging="0" w:start="0"/>
        <w:jc w:val="center"/>
        <w:rPr>
          <w:rFonts w:ascii="Arial" w:hAnsi="Arial" w:cs="Arial"/>
        </w:rPr>
      </w:pPr>
      <w:r>
        <w:rPr>
          <w:rFonts w:cs="Arial" w:ascii="Arial" w:hAnsi="Arial"/>
        </w:rPr>
        <w:t>Northern Natural Gas Company</w:t>
      </w:r>
    </w:p>
    <w:p>
      <w:pPr>
        <w:pStyle w:val="Heading6"/>
        <w:pBdr>
          <w:top w:val="single" w:sz="24" w:space="1" w:color="000000"/>
          <w:left w:val="single" w:sz="24" w:space="4" w:color="000000"/>
          <w:bottom w:val="single" w:sz="24" w:space="1" w:color="000000"/>
          <w:right w:val="single" w:sz="24" w:space="4" w:color="000000"/>
        </w:pBdr>
        <w:ind w:hanging="0" w:start="0"/>
        <w:jc w:val="center"/>
        <w:rPr>
          <w:rFonts w:ascii="Arial" w:hAnsi="Arial" w:cs="Arial"/>
        </w:rPr>
      </w:pPr>
      <w:r>
        <w:rPr>
          <w:rFonts w:cs="Arial" w:ascii="Arial" w:hAnsi="Arial"/>
        </w:rPr>
        <w:t>Rates, Certificates &amp; Government Affairs</w:t>
      </w:r>
    </w:p>
    <w:p>
      <w:pPr>
        <w:pStyle w:val="Heading6"/>
        <w:pBdr>
          <w:top w:val="single" w:sz="24" w:space="1" w:color="000000"/>
          <w:left w:val="single" w:sz="24" w:space="4" w:color="000000"/>
          <w:bottom w:val="single" w:sz="24" w:space="1" w:color="000000"/>
          <w:right w:val="single" w:sz="24" w:space="4" w:color="000000"/>
        </w:pBdr>
        <w:ind w:hanging="0" w:start="0"/>
        <w:jc w:val="center"/>
        <w:rPr>
          <w:rFonts w:ascii="Arial" w:hAnsi="Arial" w:cs="Arial"/>
          <w:sz w:val="20"/>
        </w:rPr>
      </w:pPr>
      <w:r>
        <w:rPr>
          <w:rFonts w:cs="Arial" w:ascii="Arial" w:hAnsi="Arial"/>
        </w:rPr>
        <w:t>Report for Week Ending December 21, 2001</w:t>
      </w:r>
    </w:p>
    <w:p>
      <w:pPr>
        <w:pStyle w:val="Normal"/>
        <w:pBdr>
          <w:top w:val="single" w:sz="24" w:space="1" w:color="000000"/>
          <w:left w:val="single" w:sz="24" w:space="4" w:color="000000"/>
          <w:bottom w:val="single" w:sz="24" w:space="1" w:color="000000"/>
          <w:right w:val="single" w:sz="24" w:space="4" w:color="000000"/>
        </w:pBdr>
        <w:spacing w:lineRule="atLeast" w:line="240"/>
        <w:rPr>
          <w:rFonts w:ascii="Arial" w:hAnsi="Arial" w:cs="Arial"/>
          <w:color w:val="000000"/>
          <w:sz w:val="20"/>
        </w:rPr>
      </w:pPr>
      <w:r>
        <w:rPr>
          <w:rFonts w:cs="Arial" w:ascii="Arial" w:hAnsi="Arial"/>
          <w:color w:val="000000"/>
          <w:sz w:val="20"/>
        </w:rPr>
      </w:r>
    </w:p>
    <w:p>
      <w:pPr>
        <w:pStyle w:val="Header"/>
        <w:tabs>
          <w:tab w:val="clear" w:pos="4320"/>
          <w:tab w:val="clear" w:pos="8640"/>
        </w:tabs>
        <w:autoSpaceDE w:val="false"/>
        <w:rPr>
          <w:rFonts w:ascii="Arial" w:hAnsi="Arial" w:cs="Arial"/>
          <w:color w:val="000000"/>
        </w:rPr>
      </w:pPr>
      <w:r>
        <w:rPr>
          <w:rFonts w:cs="Arial" w:ascii="Arial" w:hAnsi="Arial"/>
          <w:color w:val="000000"/>
        </w:rPr>
      </w:r>
    </w:p>
    <w:p>
      <w:pPr>
        <w:pStyle w:val="Normal"/>
        <w:autoSpaceDE w:val="false"/>
        <w:spacing w:lineRule="atLeast" w:line="240"/>
        <w:rPr>
          <w:rFonts w:ascii="Arial" w:hAnsi="Arial" w:cs="Arial"/>
          <w:b/>
          <w:color w:val="000000"/>
          <w:sz w:val="22"/>
          <w:szCs w:val="22"/>
          <w:u w:val="single"/>
        </w:rPr>
      </w:pPr>
      <w:r>
        <w:rPr>
          <w:rFonts w:cs="Arial" w:ascii="Arial" w:hAnsi="Arial"/>
          <w:b/>
          <w:color w:val="000000"/>
          <w:sz w:val="22"/>
          <w:szCs w:val="22"/>
          <w:u w:val="single"/>
        </w:rPr>
        <w:t>RATES &amp; TARIFFS (Steve Kirk 402-398-7067)</w:t>
      </w:r>
    </w:p>
    <w:p>
      <w:pPr>
        <w:pStyle w:val="Normal"/>
        <w:autoSpaceDE w:val="false"/>
        <w:rPr/>
      </w:pPr>
      <w:r>
        <w:rPr>
          <w:rFonts w:cs="Arial" w:ascii="Arial" w:hAnsi="Arial"/>
          <w:b/>
          <w:bCs/>
          <w:color w:val="333333"/>
          <w:sz w:val="22"/>
          <w:szCs w:val="22"/>
        </w:rPr>
        <w:t xml:space="preserve">RP97-288-019. TW. Negotiated Rate.  </w:t>
      </w:r>
      <w:r>
        <w:rPr>
          <w:rFonts w:cs="Arial" w:ascii="Arial" w:hAnsi="Arial"/>
          <w:color w:val="333333"/>
          <w:sz w:val="22"/>
          <w:szCs w:val="22"/>
        </w:rPr>
        <w:t>A Reliant negotiated rate deal will be filed shortly to be effective January 1 which provides for an indexed based rate to California.</w:t>
      </w:r>
    </w:p>
    <w:p>
      <w:pPr>
        <w:pStyle w:val="Normal"/>
        <w:autoSpaceDE w:val="false"/>
        <w:rPr>
          <w:rFonts w:ascii="Arial" w:hAnsi="Arial" w:cs="Arial"/>
          <w:color w:val="333333"/>
          <w:sz w:val="22"/>
          <w:szCs w:val="22"/>
        </w:rPr>
      </w:pPr>
      <w:r>
        <w:rPr>
          <w:rFonts w:cs="Arial" w:ascii="Arial" w:hAnsi="Arial"/>
          <w:color w:val="333333"/>
          <w:sz w:val="22"/>
          <w:szCs w:val="22"/>
        </w:rPr>
      </w:r>
    </w:p>
    <w:p>
      <w:pPr>
        <w:pStyle w:val="Normal"/>
        <w:autoSpaceDE w:val="false"/>
        <w:rPr/>
      </w:pPr>
      <w:r>
        <w:rPr>
          <w:rFonts w:cs="Arial" w:ascii="Arial" w:hAnsi="Arial"/>
          <w:b/>
          <w:bCs/>
          <w:sz w:val="22"/>
          <w:szCs w:val="22"/>
        </w:rPr>
        <w:t>RP02-062 . NNG. SBA.</w:t>
      </w:r>
      <w:r>
        <w:rPr>
          <w:rFonts w:cs="Arial" w:ascii="Arial" w:hAnsi="Arial"/>
          <w:sz w:val="22"/>
          <w:szCs w:val="22"/>
        </w:rPr>
        <w:t xml:space="preserve">  The annual SBA filing was made November 30 to be effective January 1, 2002 reflecting a small decrease in the SBA surcharge for 2002.  The NMDG/MRGTF protested with regard to discounting of the SBA and allocation to TI.  The Commission just issued a final order on last year's SBA filing and denied the NMDG/MRGTF's similar protest.  An answer was filed to this year's protest.</w:t>
      </w:r>
    </w:p>
    <w:p>
      <w:pPr>
        <w:pStyle w:val="Normal"/>
        <w:autoSpaceDE w:val="false"/>
        <w:rPr>
          <w:rFonts w:ascii="Arial" w:hAnsi="Arial" w:cs="Arial"/>
          <w:sz w:val="22"/>
          <w:szCs w:val="22"/>
        </w:rPr>
      </w:pPr>
      <w:r>
        <w:rPr>
          <w:rFonts w:cs="Arial" w:ascii="Arial" w:hAnsi="Arial"/>
          <w:sz w:val="22"/>
          <w:szCs w:val="22"/>
        </w:rPr>
      </w:r>
    </w:p>
    <w:p>
      <w:pPr>
        <w:pStyle w:val="Header"/>
        <w:tabs>
          <w:tab w:val="clear" w:pos="4320"/>
          <w:tab w:val="clear" w:pos="8640"/>
        </w:tabs>
        <w:autoSpaceDE w:val="false"/>
        <w:rPr>
          <w:rFonts w:ascii="Arial" w:hAnsi="Arial" w:cs="Arial"/>
          <w:b/>
          <w:bCs/>
          <w:sz w:val="22"/>
          <w:szCs w:val="22"/>
        </w:rPr>
      </w:pPr>
      <w:r>
        <w:rPr>
          <w:rFonts w:cs="Arial" w:ascii="Arial" w:hAnsi="Arial"/>
          <w:b/>
          <w:bCs/>
          <w:sz w:val="22"/>
          <w:szCs w:val="22"/>
        </w:rPr>
        <w:t>RP01-169 . NNG. SBA.</w:t>
      </w:r>
      <w:r>
        <w:rPr>
          <w:rFonts w:cs="Arial" w:ascii="Arial" w:hAnsi="Arial"/>
          <w:sz w:val="22"/>
          <w:szCs w:val="22"/>
        </w:rPr>
        <w:t xml:space="preserve">  The Commission issued an order following compliance on the 2001 SBA approving it as filed – over NMDG’s objections.  </w:t>
      </w:r>
    </w:p>
    <w:p>
      <w:pPr>
        <w:pStyle w:val="Header"/>
        <w:tabs>
          <w:tab w:val="clear" w:pos="4320"/>
          <w:tab w:val="clear" w:pos="8640"/>
        </w:tabs>
        <w:autoSpaceDE w:val="false"/>
        <w:rPr>
          <w:rFonts w:ascii="Arial" w:hAnsi="Arial" w:cs="Arial"/>
          <w:b/>
          <w:bCs/>
          <w:sz w:val="22"/>
          <w:szCs w:val="22"/>
        </w:rPr>
      </w:pPr>
      <w:r>
        <w:rPr>
          <w:rFonts w:cs="Arial" w:ascii="Arial" w:hAnsi="Arial"/>
          <w:b/>
          <w:bCs/>
          <w:sz w:val="22"/>
          <w:szCs w:val="22"/>
        </w:rPr>
      </w:r>
    </w:p>
    <w:p>
      <w:pPr>
        <w:pStyle w:val="Header"/>
        <w:tabs>
          <w:tab w:val="clear" w:pos="4320"/>
          <w:tab w:val="clear" w:pos="8640"/>
        </w:tabs>
        <w:autoSpaceDE w:val="false"/>
        <w:rPr/>
      </w:pPr>
      <w:r>
        <w:rPr>
          <w:rFonts w:cs="Arial" w:ascii="Arial" w:hAnsi="Arial"/>
          <w:b/>
          <w:bCs/>
          <w:sz w:val="22"/>
          <w:szCs w:val="22"/>
        </w:rPr>
        <w:t>Gas Quality. NNG.</w:t>
      </w:r>
      <w:r>
        <w:rPr>
          <w:rFonts w:cs="Arial" w:ascii="Arial" w:hAnsi="Arial"/>
          <w:sz w:val="22"/>
          <w:szCs w:val="22"/>
        </w:rPr>
        <w:t xml:space="preserve">  A notice to customers was posted on NNG’s EBB to remind them of the potential that Northern may be required to enforce certain gas quality provisions in the event circumstances warrant.  An example is the situation last January where the Bushton plant was potentially going to shut down and Northern planned to enforce certain C6+ quality limits.  Dave and Mary Kay met with Producers in Oklahoma City.  Good discussions; have allocation alternatives to discuss.  We plan to discuss with them in mid-January.</w:t>
      </w:r>
    </w:p>
    <w:p>
      <w:pPr>
        <w:pStyle w:val="Header"/>
        <w:tabs>
          <w:tab w:val="clear" w:pos="4320"/>
          <w:tab w:val="clear" w:pos="8640"/>
        </w:tabs>
        <w:autoSpaceDE w:val="false"/>
        <w:rPr>
          <w:rFonts w:ascii="Arial" w:hAnsi="Arial" w:cs="Arial"/>
          <w:sz w:val="22"/>
          <w:szCs w:val="22"/>
        </w:rPr>
      </w:pPr>
      <w:r>
        <w:rPr>
          <w:rFonts w:cs="Arial" w:ascii="Arial" w:hAnsi="Arial"/>
          <w:sz w:val="22"/>
          <w:szCs w:val="22"/>
        </w:rPr>
      </w:r>
    </w:p>
    <w:p>
      <w:pPr>
        <w:pStyle w:val="Header"/>
        <w:tabs>
          <w:tab w:val="clear" w:pos="4320"/>
          <w:tab w:val="clear" w:pos="8640"/>
        </w:tabs>
        <w:autoSpaceDE w:val="false"/>
        <w:rPr>
          <w:rFonts w:ascii="Arial" w:hAnsi="Arial" w:cs="Arial"/>
          <w:sz w:val="22"/>
          <w:szCs w:val="22"/>
        </w:rPr>
      </w:pPr>
      <w:r>
        <w:rPr>
          <w:rFonts w:cs="Arial" w:ascii="Arial" w:hAnsi="Arial"/>
          <w:sz w:val="22"/>
          <w:szCs w:val="22"/>
        </w:rPr>
      </w:r>
    </w:p>
    <w:p>
      <w:pPr>
        <w:pStyle w:val="Heading5"/>
        <w:ind w:hanging="0" w:start="0"/>
        <w:rPr>
          <w:rFonts w:ascii="Arial" w:hAnsi="Arial" w:cs="Arial"/>
          <w:bCs/>
          <w:color w:val="000000"/>
          <w:sz w:val="22"/>
          <w:u w:val="single"/>
        </w:rPr>
      </w:pPr>
      <w:r>
        <w:rPr>
          <w:rFonts w:cs="Arial" w:ascii="Arial" w:hAnsi="Arial"/>
          <w:bCs/>
          <w:sz w:val="22"/>
          <w:u w:val="single"/>
        </w:rPr>
        <w:t>CERTIFICATES &amp; REPORTING (Keith Petersen 402-398-7421)</w:t>
      </w:r>
    </w:p>
    <w:p>
      <w:pPr>
        <w:pStyle w:val="Normal"/>
        <w:autoSpaceDE w:val="false"/>
        <w:rPr>
          <w:sz w:val="24"/>
          <w:szCs w:val="24"/>
        </w:rPr>
      </w:pPr>
      <w:r>
        <w:rPr>
          <w:rFonts w:cs="Arial" w:ascii="Arial" w:hAnsi="Arial"/>
          <w:b/>
          <w:bCs/>
          <w:sz w:val="22"/>
          <w:szCs w:val="24"/>
        </w:rPr>
        <w:t xml:space="preserve">CP01-115 (Red Rock) </w:t>
      </w:r>
      <w:r>
        <w:rPr>
          <w:rFonts w:cs="Arial" w:ascii="Arial" w:hAnsi="Arial"/>
          <w:sz w:val="22"/>
          <w:szCs w:val="24"/>
        </w:rPr>
        <w:t>- The Arizona DEQ mailed the air permits for Stations 1 &amp; 2 to the Roswell office on Tuesday (12/18).</w:t>
      </w:r>
    </w:p>
    <w:p>
      <w:pPr>
        <w:pStyle w:val="Normal"/>
        <w:autoSpaceDE w:val="false"/>
        <w:spacing w:lineRule="atLeast" w:line="240"/>
        <w:rPr>
          <w:rFonts w:ascii="Arial" w:hAnsi="Arial" w:cs="Arial"/>
          <w:bCs/>
          <w:sz w:val="22"/>
          <w:szCs w:val="24"/>
        </w:rPr>
      </w:pPr>
      <w:r>
        <w:rPr>
          <w:rFonts w:cs="Arial" w:ascii="Arial" w:hAnsi="Arial"/>
          <w:bCs/>
          <w:sz w:val="22"/>
          <w:szCs w:val="24"/>
        </w:rPr>
      </w:r>
    </w:p>
    <w:p>
      <w:pPr>
        <w:pStyle w:val="Normal"/>
        <w:autoSpaceDE w:val="false"/>
        <w:spacing w:lineRule="atLeast" w:line="240"/>
        <w:rPr>
          <w:rFonts w:ascii="Arial" w:hAnsi="Arial" w:cs="Arial"/>
          <w:bCs/>
          <w:sz w:val="22"/>
        </w:rPr>
      </w:pPr>
      <w:r>
        <w:rPr>
          <w:rFonts w:cs="Arial" w:ascii="Arial" w:hAnsi="Arial"/>
          <w:bCs/>
          <w:sz w:val="22"/>
        </w:rPr>
      </w:r>
    </w:p>
    <w:p>
      <w:pPr>
        <w:pStyle w:val="Normal"/>
        <w:spacing w:lineRule="atLeast" w:line="240"/>
        <w:rPr>
          <w:rFonts w:ascii="Arial" w:hAnsi="Arial" w:cs="Arial"/>
          <w:b/>
          <w:sz w:val="22"/>
        </w:rPr>
      </w:pPr>
      <w:r>
        <w:rPr>
          <w:rFonts w:cs="Arial" w:ascii="Arial" w:hAnsi="Arial"/>
          <w:b/>
          <w:sz w:val="22"/>
          <w:u w:val="single"/>
        </w:rPr>
        <w:t>GOVERNMENT AFFAIRS</w:t>
      </w:r>
    </w:p>
    <w:p>
      <w:pPr>
        <w:pStyle w:val="Normal"/>
        <w:autoSpaceDE w:val="false"/>
        <w:rPr>
          <w:rFonts w:ascii="Arial" w:hAnsi="Arial" w:cs="Arial"/>
          <w:b/>
          <w:sz w:val="22"/>
        </w:rPr>
      </w:pPr>
      <w:r>
        <w:rPr>
          <w:rFonts w:cs="Arial" w:ascii="Arial" w:hAnsi="Arial"/>
          <w:b/>
          <w:sz w:val="22"/>
        </w:rPr>
        <w:t>(Glen Hass 402-398-7419)</w:t>
      </w:r>
    </w:p>
    <w:p>
      <w:pPr>
        <w:pStyle w:val="Normal"/>
        <w:autoSpaceDE w:val="false"/>
        <w:rPr>
          <w:rFonts w:ascii="Arial" w:hAnsi="Arial" w:cs="Arial"/>
          <w:sz w:val="22"/>
        </w:rPr>
      </w:pPr>
      <w:r>
        <w:rPr>
          <w:rFonts w:cs="Arial" w:ascii="Arial" w:hAnsi="Arial"/>
          <w:sz w:val="22"/>
        </w:rPr>
        <w:t>California:</w:t>
      </w:r>
    </w:p>
    <w:p>
      <w:pPr>
        <w:pStyle w:val="Normal"/>
        <w:autoSpaceDE w:val="false"/>
        <w:rPr>
          <w:rFonts w:ascii="Arial" w:hAnsi="Arial" w:cs="Arial"/>
          <w:sz w:val="22"/>
        </w:rPr>
      </w:pPr>
      <w:r>
        <w:rPr>
          <w:rFonts w:cs="Arial" w:ascii="Arial" w:hAnsi="Arial"/>
          <w:sz w:val="22"/>
        </w:rPr>
        <w:t xml:space="preserve">I99-07-003  SoCalGas Unbundling.  On December 17, 2001, the CPUC published the SoCalGas unbundling order issued last week.  Significantly, the Commission directed SoCal to include an additional 375mm/d of new backbone capacity in the open season process.  This capacity includes 50mm/d of receipt point capacity at Needles.  Marketing will contact SoCal regarding the inclusion of this RP capacity as Primary Access Rights from Transwestern.  Provided supporting references/data for this position in the Systems Adequacy proceeding and original Comprehensive Settlement document.  SoCal was directed to file an Advice Letter to establish tariff revisions and a schedule for implementation within 15 business days of the effective date which is December 11, 2001.  Taking into consideration two holidays, this makes their filing due January 3, 2002.  Comments and/or protests of the Advice Letter will be due 20 days later (Jan. 23, 2001).  </w:t>
      </w:r>
    </w:p>
    <w:p>
      <w:pPr>
        <w:pStyle w:val="Normal"/>
        <w:autoSpaceDE w:val="false"/>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sectPr>
      <w:headerReference w:type="default" r:id="rId2"/>
      <w:headerReference w:type="first" r:id="rId3"/>
      <w:type w:val="nextPage"/>
      <w:pgSz w:w="12240" w:h="15840"/>
      <w:pgMar w:left="864" w:right="864" w:gutter="0" w:header="720" w:top="77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Rates &amp; Certificates</w:t>
    </w:r>
  </w:p>
  <w:p>
    <w:pPr>
      <w:pStyle w:val="Header"/>
      <w:rPr/>
    </w:pPr>
    <w:r>
      <w:rPr/>
      <w:t>Report for Week Ending December  21,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Tms Rmn;Times New Roman" w:hAnsi="Tms Rmn;Times New Roman" w:cs="Tms Rmn;Times New Roman"/>
      <w:color w:val="000000"/>
      <w:sz w:val="24"/>
      <w:u w:val="single"/>
    </w:rPr>
  </w:style>
  <w:style w:type="paragraph" w:styleId="Heading2">
    <w:name w:val="heading 2"/>
    <w:basedOn w:val="Normal"/>
    <w:next w:val="Normal"/>
    <w:qFormat/>
    <w:pPr>
      <w:keepNext w:val="true"/>
      <w:numPr>
        <w:ilvl w:val="1"/>
        <w:numId w:val="1"/>
      </w:numPr>
      <w:outlineLvl w:val="1"/>
    </w:pPr>
    <w:rPr>
      <w:b/>
      <w:sz w:val="24"/>
      <w:u w:val="single"/>
    </w:rPr>
  </w:style>
  <w:style w:type="paragraph" w:styleId="Heading3">
    <w:name w:val="heading 3"/>
    <w:basedOn w:val="Normal"/>
    <w:next w:val="Normal"/>
    <w:qFormat/>
    <w:pPr>
      <w:keepNext w:val="true"/>
      <w:numPr>
        <w:ilvl w:val="2"/>
        <w:numId w:val="1"/>
      </w:numPr>
      <w:outlineLvl w:val="2"/>
    </w:pPr>
    <w:rPr>
      <w:b/>
      <w:color w:val="000000"/>
      <w:sz w:val="24"/>
      <w:u w:val="single"/>
    </w:rPr>
  </w:style>
  <w:style w:type="paragraph" w:styleId="Heading4">
    <w:name w:val="heading 4"/>
    <w:basedOn w:val="Normal"/>
    <w:next w:val="Normal"/>
    <w:qFormat/>
    <w:pPr>
      <w:keepNext w:val="true"/>
      <w:numPr>
        <w:ilvl w:val="3"/>
        <w:numId w:val="1"/>
      </w:numPr>
      <w:tabs>
        <w:tab w:val="left" w:pos="720" w:leader="none"/>
        <w:tab w:val="left" w:pos="1440" w:leader="none"/>
        <w:tab w:val="left" w:pos="2880" w:leader="none"/>
        <w:tab w:val="left" w:pos="3240" w:leader="none"/>
      </w:tabs>
      <w:spacing w:lineRule="atLeast" w:line="240"/>
      <w:outlineLvl w:val="3"/>
    </w:pPr>
    <w:rPr>
      <w:color w:val="000000"/>
      <w:sz w:val="24"/>
    </w:rPr>
  </w:style>
  <w:style w:type="paragraph" w:styleId="Heading5">
    <w:name w:val="heading 5"/>
    <w:basedOn w:val="Normal"/>
    <w:next w:val="Normal"/>
    <w:qFormat/>
    <w:pPr>
      <w:keepNext w:val="true"/>
      <w:numPr>
        <w:ilvl w:val="4"/>
        <w:numId w:val="1"/>
      </w:numPr>
      <w:spacing w:lineRule="atLeast" w:line="240"/>
      <w:outlineLvl w:val="4"/>
    </w:pPr>
    <w:rPr>
      <w:b/>
      <w:color w:val="000000"/>
      <w:sz w:val="24"/>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outlineLvl w:val="6"/>
    </w:pPr>
    <w:rPr>
      <w:b/>
      <w:u w:val="single"/>
    </w:rPr>
  </w:style>
  <w:style w:type="paragraph" w:styleId="Heading8">
    <w:name w:val="heading 8"/>
    <w:basedOn w:val="Normal"/>
    <w:next w:val="Normal"/>
    <w:qFormat/>
    <w:pPr>
      <w:keepNext w:val="true"/>
      <w:numPr>
        <w:ilvl w:val="7"/>
        <w:numId w:val="1"/>
      </w:numPr>
      <w:outlineLvl w:val="7"/>
    </w:pPr>
    <w:rPr>
      <w:sz w:val="24"/>
    </w:rPr>
  </w:style>
  <w:style w:type="paragraph" w:styleId="Heading9">
    <w:name w:val="heading 9"/>
    <w:basedOn w:val="Normal"/>
    <w:next w:val="Normal"/>
    <w:qFormat/>
    <w:pPr>
      <w:keepNext w:val="true"/>
      <w:numPr>
        <w:ilvl w:val="8"/>
        <w:numId w:val="1"/>
      </w:numPr>
      <w:spacing w:lineRule="atLeast" w:line="240"/>
      <w:outlineLvl w:val="8"/>
    </w:pPr>
    <w:rPr>
      <w:rFonts w:ascii="Helv;Arial" w:hAnsi="Helv;Arial" w:cs="Helv;Arial"/>
      <w:b/>
      <w:color w:val="00000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St2z0">
    <w:name w:val="WW8NumSt2z0"/>
    <w:qFormat/>
    <w:rPr>
      <w:rFonts w:ascii="Symbol" w:hAnsi="Symbol" w:cs="Symbol"/>
    </w:rPr>
  </w:style>
  <w:style w:type="character" w:styleId="WW8NumSt23z0">
    <w:name w:val="WW8NumSt2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720" w:start="720" w:end="0"/>
    </w:pPr>
    <w:rPr>
      <w:color w:val="000000"/>
      <w:sz w:val="24"/>
    </w:rPr>
  </w:style>
  <w:style w:type="paragraph" w:styleId="BodyText2">
    <w:name w:val="Body Text 2"/>
    <w:basedOn w:val="Normal"/>
    <w:qFormat/>
    <w:pPr/>
    <w:rPr>
      <w:sz w:val="24"/>
    </w:rPr>
  </w:style>
  <w:style w:type="paragraph" w:styleId="BodyTextIndent2">
    <w:name w:val="Body Text Indent 2"/>
    <w:basedOn w:val="Normal"/>
    <w:qFormat/>
    <w:pPr>
      <w:spacing w:lineRule="atLeast" w:line="240"/>
      <w:ind w:hanging="0" w:start="1440" w:end="0"/>
    </w:pPr>
    <w:rPr>
      <w:color w:val="000000"/>
      <w:sz w:val="24"/>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spacing w:lineRule="atLeast" w:line="240"/>
    </w:pPr>
    <w:rPr>
      <w:rFonts w:ascii="Helv;Arial" w:hAnsi="Helv;Arial" w:cs="Helv;Arial"/>
      <w:color w:val="000000"/>
    </w:rPr>
  </w:style>
  <w:style w:type="paragraph" w:styleId="BodyTextIndent3">
    <w:name w:val="Body Text Indent 3"/>
    <w:basedOn w:val="Normal"/>
    <w:qFormat/>
    <w:pPr>
      <w:spacing w:lineRule="atLeast" w:line="240"/>
      <w:ind w:hanging="0" w:start="720" w:end="0"/>
    </w:pPr>
    <w:rPr>
      <w:rFonts w:ascii="Helv;Arial" w:hAnsi="Helv;Arial" w:cs="Helv;Arial"/>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2001-12-21T17:18:00Z</dcterms:created>
  <dc:creator>Enron</dc:creator>
  <dc:description/>
  <dc:language>en-CA</dc:language>
  <cp:lastModifiedBy>jcall</cp:lastModifiedBy>
  <cp:lastPrinted>2001-12-21T09:14:00Z</cp:lastPrinted>
  <dcterms:modified xsi:type="dcterms:W3CDTF">2001-12-21T18:04:00Z</dcterms:modified>
  <cp:revision>4</cp:revision>
  <dc:subject/>
  <dc:title>Rates &amp; Certificates</dc:title>
</cp:coreProperties>
</file>