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DAILY VOLUME REQUIREMENTS FOR NNG METERS</w:t>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Heading2"/>
        <w:numPr>
          <w:ilvl w:val="0"/>
          <w:numId w:val="4"/>
        </w:numPr>
        <w:ind w:hanging="0" w:start="0"/>
        <w:rPr/>
      </w:pPr>
      <w:r>
        <w:rPr/>
        <w:t>Options for Providing Daily Volumes for all NNG Meters</w:t>
      </w:r>
    </w:p>
    <w:p>
      <w:pPr>
        <w:pStyle w:val="Normal"/>
        <w:rPr>
          <w:sz w:val="20"/>
        </w:rPr>
      </w:pPr>
      <w:r>
        <w:rPr>
          <w:sz w:val="20"/>
        </w:rPr>
      </w:r>
    </w:p>
    <w:p>
      <w:pPr>
        <w:pStyle w:val="Normal"/>
        <w:rPr>
          <w:sz w:val="20"/>
        </w:rPr>
      </w:pPr>
      <w:r>
        <w:rPr>
          <w:sz w:val="20"/>
        </w:rPr>
      </w:r>
    </w:p>
    <w:p>
      <w:pPr>
        <w:pStyle w:val="Heading3"/>
        <w:numPr>
          <w:ilvl w:val="1"/>
          <w:numId w:val="4"/>
        </w:numPr>
        <w:ind w:hanging="0" w:start="0"/>
        <w:rPr/>
      </w:pPr>
      <w:r>
        <w:rPr/>
        <w:t>Upgrade Delineators to Support 31-Day PD Charts</w:t>
      </w:r>
    </w:p>
    <w:p>
      <w:pPr>
        <w:pStyle w:val="Normal"/>
        <w:ind w:start="1440" w:end="0"/>
        <w:rPr>
          <w:sz w:val="20"/>
        </w:rPr>
      </w:pPr>
      <w:r>
        <w:rPr>
          <w:sz w:val="20"/>
        </w:rPr>
      </w:r>
    </w:p>
    <w:p>
      <w:pPr>
        <w:pStyle w:val="Normal"/>
        <w:ind w:start="1440" w:end="0"/>
        <w:rPr>
          <w:sz w:val="20"/>
        </w:rPr>
      </w:pPr>
      <w:r>
        <w:rPr>
          <w:sz w:val="20"/>
        </w:rPr>
        <w:t xml:space="preserve">Purchase the upgrade options for the existing delineator equipment to support 31-day daily breakouts.  GMS currently has two delineators, one is connected to the PGAS system and the other unit is used as a spare.  The upgrade would include both hardware and software changes to the current system.  </w:t>
      </w:r>
    </w:p>
    <w:p>
      <w:pPr>
        <w:pStyle w:val="Normal"/>
        <w:ind w:start="1440" w:end="0"/>
        <w:rPr>
          <w:sz w:val="20"/>
        </w:rPr>
      </w:pPr>
      <w:r>
        <w:rPr>
          <w:sz w:val="20"/>
        </w:rPr>
      </w:r>
    </w:p>
    <w:p>
      <w:pPr>
        <w:pStyle w:val="Normal"/>
        <w:ind w:start="1440" w:end="0"/>
        <w:rPr>
          <w:sz w:val="20"/>
        </w:rPr>
      </w:pPr>
      <w:r>
        <w:rPr>
          <w:sz w:val="20"/>
        </w:rPr>
        <w:t>Estimated completion of this upgrade is two months from vendor receipt of order.  Vendor requires 25% down payment on order and remainder due on delivery.</w:t>
      </w:r>
    </w:p>
    <w:p>
      <w:pPr>
        <w:pStyle w:val="Normal"/>
        <w:ind w:start="1440" w:end="0"/>
        <w:rPr>
          <w:sz w:val="20"/>
        </w:rPr>
      </w:pPr>
      <w:r>
        <w:rPr>
          <w:sz w:val="20"/>
        </w:rPr>
      </w:r>
    </w:p>
    <w:p>
      <w:pPr>
        <w:pStyle w:val="Normal"/>
        <w:ind w:start="1440" w:end="0"/>
        <w:rPr>
          <w:sz w:val="20"/>
        </w:rPr>
      </w:pPr>
      <w:r>
        <w:rPr>
          <w:sz w:val="20"/>
        </w:rPr>
        <w:t>One time charge for high resolution software</w:t>
        <w:tab/>
        <w:tab/>
        <w:tab/>
        <w:t>$  2,000</w:t>
      </w:r>
    </w:p>
    <w:p>
      <w:pPr>
        <w:pStyle w:val="Normal"/>
        <w:ind w:start="1440" w:end="0"/>
        <w:rPr>
          <w:sz w:val="20"/>
        </w:rPr>
      </w:pPr>
      <w:r>
        <w:rPr>
          <w:sz w:val="20"/>
        </w:rPr>
        <w:t>Upgrade the delineator currently connected to PGAS</w:t>
        <w:tab/>
        <w:tab/>
        <w:t>$11,000</w:t>
      </w:r>
    </w:p>
    <w:p>
      <w:pPr>
        <w:pStyle w:val="Normal"/>
        <w:ind w:start="1440" w:end="0"/>
        <w:rPr>
          <w:sz w:val="20"/>
        </w:rPr>
      </w:pPr>
      <w:r>
        <w:rPr>
          <w:sz w:val="20"/>
        </w:rPr>
        <w:t>Upgrade the spare delineator</w:t>
        <w:tab/>
        <w:tab/>
        <w:tab/>
        <w:tab/>
        <w:t>$15,750</w:t>
      </w:r>
    </w:p>
    <w:p>
      <w:pPr>
        <w:pStyle w:val="Normal"/>
        <w:ind w:start="1440" w:end="0"/>
        <w:rPr>
          <w:sz w:val="20"/>
        </w:rPr>
      </w:pPr>
      <w:r>
        <w:rPr>
          <w:sz w:val="20"/>
        </w:rPr>
        <w:t>Installation labor</w:t>
        <w:tab/>
        <w:tab/>
        <w:tab/>
        <w:tab/>
        <w:tab/>
        <w:tab/>
        <w:t>$  1,000</w:t>
      </w:r>
    </w:p>
    <w:p>
      <w:pPr>
        <w:pStyle w:val="Normal"/>
        <w:ind w:start="1440" w:end="0"/>
        <w:rPr/>
      </w:pPr>
      <w:r>
        <w:rPr>
          <w:sz w:val="20"/>
        </w:rPr>
        <w:t>PGAS software license for the spare delineator</w:t>
        <w:tab/>
        <w:tab/>
      </w:r>
      <w:r>
        <w:rPr>
          <w:sz w:val="20"/>
          <w:u w:val="single"/>
        </w:rPr>
        <w:t>$  8,500</w:t>
      </w:r>
    </w:p>
    <w:p>
      <w:pPr>
        <w:pStyle w:val="Normal"/>
        <w:ind w:start="1440" w:end="0"/>
        <w:rPr>
          <w:sz w:val="20"/>
        </w:rPr>
      </w:pPr>
      <w:r>
        <w:rPr>
          <w:sz w:val="20"/>
        </w:rPr>
        <w:tab/>
      </w:r>
      <w:r>
        <w:rPr>
          <w:b/>
          <w:bCs/>
          <w:sz w:val="20"/>
        </w:rPr>
        <w:t>TOTAL</w:t>
      </w:r>
      <w:r>
        <w:rPr>
          <w:sz w:val="20"/>
        </w:rPr>
        <w:tab/>
        <w:tab/>
        <w:tab/>
        <w:tab/>
        <w:tab/>
        <w:tab/>
      </w:r>
      <w:r>
        <w:rPr>
          <w:b/>
          <w:bCs/>
          <w:sz w:val="20"/>
        </w:rPr>
        <w:t>$38,250</w:t>
      </w:r>
    </w:p>
    <w:p>
      <w:pPr>
        <w:pStyle w:val="Normal"/>
        <w:ind w:start="1440" w:end="0"/>
        <w:rPr>
          <w:sz w:val="20"/>
        </w:rPr>
      </w:pPr>
      <w:r>
        <w:rPr>
          <w:sz w:val="20"/>
        </w:rPr>
      </w:r>
    </w:p>
    <w:p>
      <w:pPr>
        <w:pStyle w:val="Normal"/>
        <w:ind w:start="1440" w:end="0"/>
        <w:rPr>
          <w:sz w:val="20"/>
        </w:rPr>
      </w:pPr>
      <w:r>
        <w:rPr>
          <w:sz w:val="20"/>
        </w:rPr>
        <w:t>The increased cost for the spare delineator is for the annual service contract and PGAS software requirements in order to connect the unit to PGAS.</w:t>
      </w:r>
    </w:p>
    <w:p>
      <w:pPr>
        <w:pStyle w:val="Normal"/>
        <w:ind w:start="1440" w:end="0"/>
        <w:rPr>
          <w:sz w:val="20"/>
        </w:rPr>
      </w:pPr>
      <w:r>
        <w:rPr>
          <w:sz w:val="20"/>
        </w:rPr>
      </w:r>
    </w:p>
    <w:p>
      <w:pPr>
        <w:pStyle w:val="Normal"/>
        <w:ind w:start="1440" w:end="0"/>
        <w:rPr>
          <w:sz w:val="20"/>
        </w:rPr>
      </w:pPr>
      <w:r>
        <w:rPr>
          <w:sz w:val="20"/>
        </w:rPr>
        <w:t>Notes:</w:t>
      </w:r>
    </w:p>
    <w:p>
      <w:pPr>
        <w:pStyle w:val="Normal"/>
        <w:numPr>
          <w:ilvl w:val="0"/>
          <w:numId w:val="3"/>
        </w:numPr>
        <w:rPr>
          <w:sz w:val="20"/>
        </w:rPr>
      </w:pPr>
      <w:r>
        <w:rPr>
          <w:sz w:val="20"/>
        </w:rPr>
        <w:t>An additional software modification can be added at a later date to improve the delineator resolution at a cost $5,000 dollars.  This software has not been developed and has an expected delivery of March 2001.</w:t>
      </w:r>
    </w:p>
    <w:p>
      <w:pPr>
        <w:pStyle w:val="Normal"/>
        <w:numPr>
          <w:ilvl w:val="0"/>
          <w:numId w:val="3"/>
        </w:numPr>
        <w:rPr>
          <w:sz w:val="20"/>
        </w:rPr>
      </w:pPr>
      <w:r>
        <w:rPr>
          <w:sz w:val="20"/>
        </w:rPr>
        <w:t>Manpower requirements within GMS may need to be addressed depending on the time required to process charts with the delineator equipment.  Until the equipment is in operation we have no way of knowing how long it will take to process a chart and how many charts will be able to be processed each day.</w:t>
      </w:r>
    </w:p>
    <w:p>
      <w:pPr>
        <w:pStyle w:val="Normal"/>
        <w:numPr>
          <w:ilvl w:val="0"/>
          <w:numId w:val="3"/>
        </w:numPr>
        <w:rPr>
          <w:sz w:val="20"/>
        </w:rPr>
      </w:pPr>
      <w:r>
        <w:rPr>
          <w:sz w:val="20"/>
        </w:rPr>
        <w:t>The delineator equipment cannot process charts that have overlapped data.</w:t>
      </w:r>
    </w:p>
    <w:p>
      <w:pPr>
        <w:pStyle w:val="Normal"/>
        <w:numPr>
          <w:ilvl w:val="0"/>
          <w:numId w:val="3"/>
        </w:numPr>
        <w:rPr>
          <w:sz w:val="20"/>
        </w:rPr>
      </w:pPr>
      <w:r>
        <w:rPr>
          <w:sz w:val="20"/>
        </w:rPr>
        <w:t>The delineator equipment cannot process charts with volume cycles less than ¼ inch apart.</w:t>
      </w:r>
    </w:p>
    <w:p>
      <w:pPr>
        <w:pStyle w:val="Normal"/>
        <w:numPr>
          <w:ilvl w:val="0"/>
          <w:numId w:val="3"/>
        </w:numPr>
        <w:rPr>
          <w:sz w:val="20"/>
        </w:rPr>
      </w:pPr>
      <w:r>
        <w:rPr>
          <w:sz w:val="20"/>
        </w:rPr>
        <w:t>Upgraded system will not be capable of processing daylight savings time adjustments.</w:t>
      </w:r>
    </w:p>
    <w:p>
      <w:pPr>
        <w:pStyle w:val="Normal"/>
        <w:numPr>
          <w:ilvl w:val="0"/>
          <w:numId w:val="3"/>
        </w:numPr>
        <w:rPr>
          <w:sz w:val="20"/>
        </w:rPr>
      </w:pPr>
      <w:r>
        <w:rPr>
          <w:sz w:val="20"/>
        </w:rPr>
        <w:t>PPA’s may/will be required for late charts and charts that can’t be processed with the delineator equipment.</w:t>
      </w:r>
    </w:p>
    <w:p>
      <w:pPr>
        <w:pStyle w:val="Normal"/>
        <w:ind w:start="1440" w:end="0"/>
        <w:rPr>
          <w:sz w:val="20"/>
        </w:rPr>
      </w:pPr>
      <w:r>
        <w:rPr>
          <w:sz w:val="20"/>
        </w:rPr>
      </w:r>
    </w:p>
    <w:p>
      <w:pPr>
        <w:pStyle w:val="Normal"/>
        <w:ind w:start="1440" w:end="0"/>
        <w:rPr>
          <w:sz w:val="20"/>
        </w:rPr>
      </w:pPr>
      <w:r>
        <w:rPr>
          <w:sz w:val="20"/>
        </w:rPr>
      </w:r>
    </w:p>
    <w:p>
      <w:pPr>
        <w:pStyle w:val="Heading3"/>
        <w:numPr>
          <w:ilvl w:val="1"/>
          <w:numId w:val="4"/>
        </w:numPr>
        <w:ind w:hanging="0" w:start="0"/>
        <w:rPr/>
      </w:pPr>
      <w:r>
        <w:rPr/>
        <w:t>Upgrade Four Integrators to Support PD Charts</w:t>
      </w:r>
    </w:p>
    <w:p>
      <w:pPr>
        <w:pStyle w:val="Normal"/>
        <w:rPr>
          <w:sz w:val="20"/>
        </w:rPr>
      </w:pPr>
      <w:r>
        <w:rPr>
          <w:sz w:val="20"/>
        </w:rPr>
      </w:r>
    </w:p>
    <w:p>
      <w:pPr>
        <w:pStyle w:val="Normal"/>
        <w:ind w:start="1440" w:end="0"/>
        <w:rPr>
          <w:sz w:val="20"/>
        </w:rPr>
      </w:pPr>
      <w:r>
        <w:rPr>
          <w:sz w:val="20"/>
        </w:rPr>
        <w:t>GMS currently has four Chart5 integrators that are used to integrate orifice meter charts.  This product can be upgraded to support PD charts and provide daily volume breakouts.  This upgrade will require the conversion of an existing software application to run under the Windows 2000 operating system plus some modifications to the PGAS PCALC application.</w:t>
      </w:r>
    </w:p>
    <w:p>
      <w:pPr>
        <w:pStyle w:val="Normal"/>
        <w:ind w:start="1440" w:end="0"/>
        <w:rPr>
          <w:sz w:val="20"/>
        </w:rPr>
      </w:pPr>
      <w:r>
        <w:rPr>
          <w:sz w:val="20"/>
        </w:rPr>
      </w:r>
    </w:p>
    <w:p>
      <w:pPr>
        <w:pStyle w:val="Normal"/>
        <w:ind w:start="1440" w:end="0"/>
        <w:rPr>
          <w:sz w:val="20"/>
        </w:rPr>
      </w:pPr>
      <w:r>
        <w:rPr>
          <w:sz w:val="20"/>
        </w:rPr>
        <w:t>Estimated completion of this option is 45 days from vendor receipt of order.  Vendor requires 50% down payment upon order and 50% upon delivery.</w:t>
      </w:r>
    </w:p>
    <w:p>
      <w:pPr>
        <w:pStyle w:val="Normal"/>
        <w:ind w:start="1440" w:end="0"/>
        <w:rPr>
          <w:sz w:val="20"/>
        </w:rPr>
      </w:pPr>
      <w:r>
        <w:rPr>
          <w:sz w:val="20"/>
        </w:rPr>
      </w:r>
    </w:p>
    <w:p>
      <w:pPr>
        <w:pStyle w:val="Normal"/>
        <w:ind w:start="1440" w:end="0"/>
        <w:rPr>
          <w:sz w:val="20"/>
        </w:rPr>
      </w:pPr>
      <w:r>
        <w:rPr>
          <w:sz w:val="20"/>
        </w:rPr>
        <w:t>Modifications to PCALC to accommodate PD meters</w:t>
        <w:tab/>
        <w:tab/>
        <w:t>$10,586</w:t>
      </w:r>
    </w:p>
    <w:p>
      <w:pPr>
        <w:pStyle w:val="Normal"/>
        <w:ind w:start="1440" w:end="0"/>
        <w:rPr/>
      </w:pPr>
      <w:r>
        <w:rPr>
          <w:sz w:val="20"/>
        </w:rPr>
        <w:t>License and software development</w:t>
        <w:tab/>
        <w:tab/>
        <w:tab/>
        <w:tab/>
      </w:r>
      <w:r>
        <w:rPr>
          <w:sz w:val="20"/>
          <w:u w:val="single"/>
        </w:rPr>
        <w:t>$25,000</w:t>
      </w:r>
      <w:r>
        <w:rPr>
          <w:sz w:val="20"/>
        </w:rPr>
        <w:t xml:space="preserve">  </w:t>
      </w:r>
    </w:p>
    <w:p>
      <w:pPr>
        <w:pStyle w:val="Normal"/>
        <w:ind w:start="1440" w:end="0"/>
        <w:rPr/>
      </w:pPr>
      <w:r>
        <w:rPr>
          <w:sz w:val="20"/>
        </w:rPr>
        <w:tab/>
      </w:r>
      <w:r>
        <w:rPr>
          <w:b/>
          <w:bCs/>
          <w:sz w:val="20"/>
        </w:rPr>
        <w:t>TOTAL</w:t>
      </w:r>
      <w:r>
        <w:rPr>
          <w:sz w:val="20"/>
        </w:rPr>
        <w:tab/>
        <w:tab/>
        <w:tab/>
        <w:tab/>
        <w:tab/>
        <w:tab/>
      </w:r>
      <w:r>
        <w:rPr>
          <w:b/>
          <w:bCs/>
          <w:sz w:val="20"/>
        </w:rPr>
        <w:t>$35,586</w:t>
      </w:r>
    </w:p>
    <w:p>
      <w:pPr>
        <w:pStyle w:val="Normal"/>
        <w:ind w:start="1440" w:end="0"/>
        <w:rPr>
          <w:b/>
          <w:bCs/>
          <w:sz w:val="20"/>
        </w:rPr>
      </w:pPr>
      <w:r>
        <w:rPr>
          <w:b/>
          <w:bCs/>
          <w:sz w:val="20"/>
        </w:rPr>
      </w:r>
    </w:p>
    <w:p>
      <w:pPr>
        <w:pStyle w:val="Normal"/>
        <w:ind w:start="1440" w:end="0"/>
        <w:rPr>
          <w:sz w:val="20"/>
        </w:rPr>
      </w:pPr>
      <w:r>
        <w:rPr>
          <w:sz w:val="20"/>
        </w:rPr>
        <w:t>Notes:</w:t>
      </w:r>
    </w:p>
    <w:p>
      <w:pPr>
        <w:pStyle w:val="Normal"/>
        <w:numPr>
          <w:ilvl w:val="0"/>
          <w:numId w:val="3"/>
        </w:numPr>
        <w:rPr>
          <w:sz w:val="20"/>
        </w:rPr>
      </w:pPr>
      <w:r>
        <w:rPr>
          <w:sz w:val="20"/>
        </w:rPr>
        <w:t>Manpower requirements within GMS may need to be addressed depending on the time required to process charts with the integrator equipment.  Until the equipment is in operation we have no way of knowing how long it will take to process a chart and how many charts will be able to be processed each day.</w:t>
      </w:r>
    </w:p>
    <w:p>
      <w:pPr>
        <w:pStyle w:val="Normal"/>
        <w:numPr>
          <w:ilvl w:val="0"/>
          <w:numId w:val="3"/>
        </w:numPr>
        <w:rPr>
          <w:sz w:val="20"/>
        </w:rPr>
      </w:pPr>
      <w:r>
        <w:rPr>
          <w:sz w:val="20"/>
        </w:rPr>
        <w:t>PPA’s may/will be required for late charts and charts that can’t be processed with the integrator equipment.</w:t>
      </w:r>
    </w:p>
    <w:p>
      <w:pPr>
        <w:pStyle w:val="Normal"/>
        <w:ind w:start="1440" w:end="0"/>
        <w:rPr>
          <w:b/>
          <w:bCs/>
          <w:sz w:val="20"/>
        </w:rPr>
      </w:pPr>
      <w:r>
        <w:rPr>
          <w:b/>
          <w:bCs/>
          <w:sz w:val="20"/>
        </w:rPr>
      </w:r>
    </w:p>
    <w:p>
      <w:pPr>
        <w:pStyle w:val="Normal"/>
        <w:ind w:start="1440" w:end="0"/>
        <w:rPr>
          <w:b/>
          <w:bCs/>
          <w:sz w:val="20"/>
        </w:rPr>
      </w:pPr>
      <w:r>
        <w:rPr>
          <w:b/>
          <w:bCs/>
          <w:sz w:val="20"/>
        </w:rPr>
      </w:r>
    </w:p>
    <w:p>
      <w:pPr>
        <w:pStyle w:val="Heading3"/>
        <w:numPr>
          <w:ilvl w:val="1"/>
          <w:numId w:val="4"/>
        </w:numPr>
        <w:ind w:hanging="0" w:start="0"/>
        <w:rPr/>
      </w:pPr>
      <w:r>
        <w:rPr/>
        <w:t>Implement Equations with PGAS to Estimate Daily Volumes</w:t>
      </w:r>
    </w:p>
    <w:p>
      <w:pPr>
        <w:pStyle w:val="Normal"/>
        <w:rPr>
          <w:sz w:val="20"/>
        </w:rPr>
      </w:pPr>
      <w:r>
        <w:rPr>
          <w:sz w:val="20"/>
        </w:rPr>
      </w:r>
    </w:p>
    <w:p>
      <w:pPr>
        <w:pStyle w:val="Normal"/>
        <w:ind w:start="1440" w:end="0"/>
        <w:rPr>
          <w:sz w:val="20"/>
        </w:rPr>
      </w:pPr>
      <w:r>
        <w:rPr>
          <w:sz w:val="20"/>
        </w:rPr>
        <w:t>The current PGAS system divides index read volumes and 31-day chart volumes into even daily volumes.  This option proposes the implementation of equations to calculate a flow-weighted volume for these meters based on a reference meter flow pattern.  For example, the index read meters would be grouped together and all assigned to a reference meter.  The reference meter would be a larger volume TBS station equipped with EFM and located in the same general area as the index read meters.  The system would use the reference meter to determine the percent of volume to allocate for each day.  For example, if the reference meter flows 3 percent of its total monthly volume on the first day, then the calculated PD meters volume for the first day would be 3 percent of the PD’s total volume.  This process would also place a comment within each volume record created plus flag the volumes as manual entry.  This information can then be used to flag the volume record as an “estimated” volume within the extract process to downstream systems.</w:t>
      </w:r>
    </w:p>
    <w:p>
      <w:pPr>
        <w:pStyle w:val="Normal"/>
        <w:ind w:start="1440" w:end="0"/>
        <w:rPr>
          <w:sz w:val="20"/>
        </w:rPr>
      </w:pPr>
      <w:r>
        <w:rPr>
          <w:sz w:val="20"/>
        </w:rPr>
      </w:r>
    </w:p>
    <w:p>
      <w:pPr>
        <w:pStyle w:val="Normal"/>
        <w:ind w:start="1440" w:end="0"/>
        <w:rPr>
          <w:sz w:val="20"/>
        </w:rPr>
      </w:pPr>
      <w:r>
        <w:rPr>
          <w:sz w:val="20"/>
        </w:rPr>
        <w:t>Estimated completion of this option is 45 days from vendor receipt of order.  Vendor requires 50% down payment upon order and 50% upon delivery.</w:t>
      </w:r>
    </w:p>
    <w:p>
      <w:pPr>
        <w:pStyle w:val="Normal"/>
        <w:ind w:start="1440" w:end="0"/>
        <w:rPr>
          <w:sz w:val="20"/>
        </w:rPr>
      </w:pPr>
      <w:r>
        <w:rPr>
          <w:sz w:val="20"/>
        </w:rPr>
      </w:r>
    </w:p>
    <w:p>
      <w:pPr>
        <w:pStyle w:val="Normal"/>
        <w:ind w:start="1440" w:end="0"/>
        <w:rPr>
          <w:sz w:val="20"/>
        </w:rPr>
      </w:pPr>
      <w:r>
        <w:rPr>
          <w:sz w:val="20"/>
        </w:rPr>
        <w:t>An additional enhancement can be added to this process to include a comment to the volume statement that indicates the days that were estimated from monthly total.  This feature will cost an additional $5,000 dollars and add 10 days to the delivery.</w:t>
      </w:r>
    </w:p>
    <w:p>
      <w:pPr>
        <w:pStyle w:val="Normal"/>
        <w:ind w:start="1440" w:end="0"/>
        <w:rPr>
          <w:sz w:val="20"/>
        </w:rPr>
      </w:pPr>
      <w:r>
        <w:rPr>
          <w:sz w:val="20"/>
        </w:rPr>
      </w:r>
    </w:p>
    <w:p>
      <w:pPr>
        <w:pStyle w:val="Normal"/>
        <w:ind w:start="1440" w:end="0"/>
        <w:rPr>
          <w:sz w:val="20"/>
        </w:rPr>
      </w:pPr>
      <w:r>
        <w:rPr>
          <w:sz w:val="20"/>
        </w:rPr>
      </w:r>
    </w:p>
    <w:p>
      <w:pPr>
        <w:pStyle w:val="Normal"/>
        <w:ind w:start="1440" w:end="0"/>
        <w:rPr>
          <w:sz w:val="20"/>
        </w:rPr>
      </w:pPr>
      <w:r>
        <w:rPr>
          <w:sz w:val="20"/>
        </w:rPr>
      </w:r>
    </w:p>
    <w:p>
      <w:pPr>
        <w:pStyle w:val="Normal"/>
        <w:ind w:start="1440" w:end="0"/>
        <w:rPr>
          <w:sz w:val="20"/>
        </w:rPr>
      </w:pPr>
      <w:r>
        <w:rPr>
          <w:sz w:val="20"/>
        </w:rPr>
        <w:t>Modify PGAS PD entry to support flow-weighted volume adjustments</w:t>
        <w:tab/>
        <w:tab/>
        <w:t>$20,264</w:t>
      </w:r>
    </w:p>
    <w:p>
      <w:pPr>
        <w:pStyle w:val="Normal"/>
        <w:ind w:start="1440" w:end="0"/>
        <w:rPr/>
      </w:pPr>
      <w:r>
        <w:rPr>
          <w:sz w:val="20"/>
        </w:rPr>
        <w:t>Enhancement for volume statement comments</w:t>
        <w:tab/>
        <w:tab/>
        <w:tab/>
        <w:tab/>
      </w:r>
      <w:r>
        <w:rPr>
          <w:sz w:val="20"/>
          <w:u w:val="single"/>
        </w:rPr>
        <w:t>$  5,000</w:t>
      </w:r>
    </w:p>
    <w:p>
      <w:pPr>
        <w:pStyle w:val="Normal"/>
        <w:ind w:start="1440" w:end="0"/>
        <w:rPr/>
      </w:pPr>
      <w:r>
        <w:rPr>
          <w:sz w:val="20"/>
        </w:rPr>
        <w:tab/>
      </w:r>
      <w:r>
        <w:rPr>
          <w:b/>
          <w:bCs/>
          <w:sz w:val="20"/>
        </w:rPr>
        <w:t>TOTAL</w:t>
      </w:r>
      <w:r>
        <w:rPr>
          <w:sz w:val="20"/>
        </w:rPr>
        <w:tab/>
        <w:tab/>
        <w:tab/>
        <w:tab/>
        <w:tab/>
        <w:tab/>
        <w:tab/>
        <w:tab/>
      </w:r>
      <w:r>
        <w:rPr>
          <w:b/>
          <w:bCs/>
          <w:sz w:val="20"/>
        </w:rPr>
        <w:t>$25,264</w:t>
      </w:r>
    </w:p>
    <w:p>
      <w:pPr>
        <w:pStyle w:val="Normal"/>
        <w:ind w:start="1440" w:end="0"/>
        <w:rPr>
          <w:b/>
          <w:bCs/>
          <w:sz w:val="20"/>
        </w:rPr>
      </w:pPr>
      <w:r>
        <w:rPr>
          <w:b/>
          <w:bCs/>
          <w:sz w:val="20"/>
        </w:rPr>
      </w:r>
    </w:p>
    <w:p>
      <w:pPr>
        <w:pStyle w:val="Normal"/>
        <w:ind w:start="1440" w:end="0"/>
        <w:rPr>
          <w:sz w:val="20"/>
        </w:rPr>
      </w:pPr>
      <w:r>
        <w:rPr>
          <w:sz w:val="20"/>
        </w:rPr>
        <w:t>Notes:</w:t>
      </w:r>
    </w:p>
    <w:p>
      <w:pPr>
        <w:pStyle w:val="Normal"/>
        <w:numPr>
          <w:ilvl w:val="2"/>
          <w:numId w:val="4"/>
        </w:numPr>
        <w:rPr>
          <w:sz w:val="20"/>
        </w:rPr>
      </w:pPr>
      <w:r>
        <w:rPr>
          <w:sz w:val="20"/>
        </w:rPr>
        <w:t>If implemented, this process will need to be communicated to the customers so that they understand and agree to our methodology of calculating “estimated” daily volumes from monthly totals.</w:t>
      </w:r>
    </w:p>
    <w:p>
      <w:pPr>
        <w:pStyle w:val="Normal"/>
        <w:numPr>
          <w:ilvl w:val="2"/>
          <w:numId w:val="4"/>
        </w:numPr>
        <w:rPr>
          <w:sz w:val="20"/>
        </w:rPr>
      </w:pPr>
      <w:r>
        <w:rPr>
          <w:sz w:val="20"/>
        </w:rPr>
        <w:t>In addition to calculating “estimated” daily volumes for PD index cards, this process can be used to calculate daily volume estimates for meters with late charts, missing charts, or charts that cannot be integrated.</w:t>
      </w:r>
    </w:p>
    <w:p>
      <w:pPr>
        <w:pStyle w:val="Normal"/>
        <w:numPr>
          <w:ilvl w:val="2"/>
          <w:numId w:val="4"/>
        </w:numPr>
        <w:rPr>
          <w:sz w:val="20"/>
        </w:rPr>
      </w:pPr>
      <w:r>
        <w:rPr>
          <w:sz w:val="20"/>
        </w:rPr>
        <w:t>This process will depend on GMS receiving index cards and chart index readings before the close of the second business day.</w:t>
      </w:r>
    </w:p>
    <w:p>
      <w:pPr>
        <w:pStyle w:val="Normal"/>
        <w:ind w:start="1440" w:end="0"/>
        <w:rPr>
          <w:b/>
          <w:bCs/>
          <w:sz w:val="20"/>
        </w:rPr>
      </w:pPr>
      <w:r>
        <w:rPr>
          <w:b/>
          <w:bCs/>
          <w:sz w:val="20"/>
        </w:rPr>
      </w:r>
    </w:p>
    <w:p>
      <w:pPr>
        <w:pStyle w:val="Normal"/>
        <w:ind w:start="1080" w:end="0"/>
        <w:rPr>
          <w:b/>
          <w:bCs/>
          <w:sz w:val="20"/>
        </w:rPr>
      </w:pPr>
      <w:r>
        <w:rPr>
          <w:b/>
          <w:bCs/>
          <w:sz w:val="20"/>
        </w:rPr>
      </w:r>
    </w:p>
    <w:p>
      <w:pPr>
        <w:pStyle w:val="Normal"/>
        <w:numPr>
          <w:ilvl w:val="1"/>
          <w:numId w:val="4"/>
        </w:numPr>
        <w:rPr>
          <w:b/>
          <w:bCs/>
          <w:sz w:val="20"/>
        </w:rPr>
      </w:pPr>
      <w:r>
        <w:rPr>
          <w:b/>
          <w:bCs/>
          <w:sz w:val="20"/>
        </w:rPr>
        <w:t>Utilize USPS Priority Mail to Ensure Delivery of Charts to GMS by the 3</w:t>
      </w:r>
      <w:r>
        <w:rPr>
          <w:b/>
          <w:bCs/>
          <w:sz w:val="20"/>
          <w:vertAlign w:val="superscript"/>
        </w:rPr>
        <w:t>rd</w:t>
      </w:r>
      <w:r>
        <w:rPr>
          <w:b/>
          <w:bCs/>
          <w:sz w:val="20"/>
        </w:rPr>
        <w:t xml:space="preserve"> Working Day of Each Month</w:t>
      </w:r>
    </w:p>
    <w:p>
      <w:pPr>
        <w:pStyle w:val="Normal"/>
        <w:rPr>
          <w:b/>
          <w:bCs/>
          <w:sz w:val="20"/>
        </w:rPr>
      </w:pPr>
      <w:r>
        <w:rPr>
          <w:b/>
          <w:bCs/>
          <w:sz w:val="20"/>
        </w:rPr>
      </w:r>
    </w:p>
    <w:p>
      <w:pPr>
        <w:pStyle w:val="Normal"/>
        <w:ind w:start="2880" w:end="0"/>
        <w:rPr>
          <w:sz w:val="20"/>
        </w:rPr>
      </w:pPr>
      <w:r>
        <w:rPr>
          <w:sz w:val="20"/>
        </w:rPr>
        <w:t>NO. OF</w:t>
        <w:tab/>
        <w:tab/>
        <w:t>CURRENT</w:t>
        <w:tab/>
        <w:t>USPS PRIOR.</w:t>
        <w:tab/>
        <w:t>MONTHLY</w:t>
      </w:r>
    </w:p>
    <w:p>
      <w:pPr>
        <w:pStyle w:val="Normal"/>
        <w:ind w:start="1440" w:end="0"/>
        <w:rPr>
          <w:sz w:val="20"/>
        </w:rPr>
      </w:pPr>
      <w:r>
        <w:rPr>
          <w:sz w:val="20"/>
        </w:rPr>
        <w:t>CHART</w:t>
        <w:tab/>
        <w:tab/>
        <w:t>ACTIVE</w:t>
        <w:tab/>
        <w:t>MAILING</w:t>
        <w:tab/>
        <w:t>MAILING</w:t>
        <w:tab/>
        <w:t>INCREMENTAL</w:t>
      </w:r>
    </w:p>
    <w:p>
      <w:pPr>
        <w:pStyle w:val="Normal"/>
        <w:ind w:start="1440" w:end="0"/>
        <w:rPr/>
      </w:pPr>
      <w:r>
        <w:rPr>
          <w:sz w:val="20"/>
          <w:u w:val="single"/>
        </w:rPr>
        <w:t>ROTATION</w:t>
      </w:r>
      <w:r>
        <w:rPr>
          <w:sz w:val="20"/>
        </w:rPr>
        <w:tab/>
      </w:r>
      <w:r>
        <w:rPr>
          <w:sz w:val="20"/>
          <w:u w:val="single"/>
        </w:rPr>
        <w:t>STATIONS</w:t>
      </w:r>
      <w:r>
        <w:rPr>
          <w:sz w:val="20"/>
        </w:rPr>
        <w:tab/>
      </w:r>
      <w:r>
        <w:rPr>
          <w:sz w:val="20"/>
          <w:u w:val="single"/>
        </w:rPr>
        <w:t>EXPENSE</w:t>
      </w:r>
      <w:r>
        <w:rPr>
          <w:sz w:val="20"/>
        </w:rPr>
        <w:tab/>
      </w:r>
      <w:r>
        <w:rPr>
          <w:sz w:val="20"/>
          <w:u w:val="single"/>
        </w:rPr>
        <w:t>EXPENSE</w:t>
      </w:r>
      <w:r>
        <w:rPr>
          <w:sz w:val="20"/>
        </w:rPr>
        <w:tab/>
      </w:r>
      <w:r>
        <w:rPr>
          <w:sz w:val="20"/>
          <w:u w:val="single"/>
        </w:rPr>
        <w:t>EXPENSE</w:t>
      </w:r>
    </w:p>
    <w:p>
      <w:pPr>
        <w:pStyle w:val="Normal"/>
        <w:ind w:start="1440" w:end="0"/>
        <w:rPr>
          <w:sz w:val="20"/>
          <w:u w:val="single"/>
        </w:rPr>
      </w:pPr>
      <w:r>
        <w:rPr>
          <w:sz w:val="20"/>
          <w:u w:val="single"/>
        </w:rPr>
      </w:r>
    </w:p>
    <w:p>
      <w:pPr>
        <w:pStyle w:val="Normal"/>
        <w:ind w:start="1440" w:end="0"/>
        <w:rPr>
          <w:sz w:val="20"/>
        </w:rPr>
      </w:pPr>
      <w:r>
        <w:rPr>
          <w:sz w:val="20"/>
        </w:rPr>
        <w:t>7 &amp; 8 Day</w:t>
        <w:tab/>
        <w:t>118</w:t>
        <w:tab/>
        <w:tab/>
        <w:t>$  944</w:t>
        <w:tab/>
        <w:tab/>
        <w:t>$ 6,372</w:t>
        <w:tab/>
        <w:tab/>
        <w:t>$  5,428</w:t>
      </w:r>
    </w:p>
    <w:p>
      <w:pPr>
        <w:pStyle w:val="Normal"/>
        <w:ind w:start="1440" w:end="0"/>
        <w:rPr>
          <w:sz w:val="20"/>
        </w:rPr>
      </w:pPr>
      <w:r>
        <w:rPr>
          <w:sz w:val="20"/>
        </w:rPr>
        <w:t>16 Day</w:t>
        <w:tab/>
        <w:tab/>
        <w:t>724</w:t>
        <w:tab/>
        <w:tab/>
        <w:t>$2,896</w:t>
        <w:tab/>
        <w:tab/>
        <w:t>$19,548</w:t>
        <w:tab/>
        <w:tab/>
        <w:t>$16,652</w:t>
      </w:r>
    </w:p>
    <w:p>
      <w:pPr>
        <w:pStyle w:val="Normal"/>
        <w:ind w:start="1440" w:end="0"/>
        <w:rPr>
          <w:sz w:val="20"/>
        </w:rPr>
      </w:pPr>
      <w:r>
        <w:rPr>
          <w:sz w:val="20"/>
        </w:rPr>
        <w:t>31 Day</w:t>
        <w:tab/>
        <w:tab/>
        <w:t>130</w:t>
        <w:tab/>
        <w:tab/>
      </w:r>
      <w:r>
        <w:rPr>
          <w:sz w:val="20"/>
          <w:u w:val="single"/>
        </w:rPr>
        <w:t>$   260</w:t>
      </w:r>
      <w:r>
        <w:rPr>
          <w:sz w:val="20"/>
        </w:rPr>
        <w:tab/>
        <w:tab/>
      </w:r>
      <w:r>
        <w:rPr>
          <w:sz w:val="20"/>
          <w:u w:val="single"/>
        </w:rPr>
        <w:t>$  1,755</w:t>
      </w:r>
      <w:r>
        <w:rPr>
          <w:sz w:val="20"/>
        </w:rPr>
        <w:tab/>
        <w:tab/>
      </w:r>
      <w:r>
        <w:rPr>
          <w:sz w:val="20"/>
          <w:u w:val="single"/>
        </w:rPr>
        <w:t>$  1,495</w:t>
      </w:r>
    </w:p>
    <w:p>
      <w:pPr>
        <w:pStyle w:val="Heading1"/>
        <w:rPr/>
      </w:pPr>
      <w:r>
        <w:rPr/>
        <w:t>TOTAL</w:t>
        <w:tab/>
        <w:tab/>
        <w:tab/>
        <w:tab/>
        <w:t>$3,840</w:t>
        <w:tab/>
        <w:tab/>
        <w:t>$25,920</w:t>
        <w:tab/>
        <w:tab/>
        <w:t>$22,080</w:t>
      </w:r>
    </w:p>
    <w:p>
      <w:pPr>
        <w:pStyle w:val="Normal"/>
        <w:ind w:start="1440" w:end="0"/>
        <w:rPr>
          <w:sz w:val="20"/>
        </w:rPr>
      </w:pPr>
      <w:r>
        <w:rPr>
          <w:sz w:val="20"/>
        </w:rPr>
      </w:r>
    </w:p>
    <w:p>
      <w:pPr>
        <w:pStyle w:val="Normal"/>
        <w:ind w:start="1440" w:end="0"/>
        <w:rPr>
          <w:sz w:val="20"/>
        </w:rPr>
      </w:pPr>
      <w:r>
        <w:rPr>
          <w:sz w:val="20"/>
        </w:rPr>
        <w:t>NOTES:</w:t>
      </w:r>
    </w:p>
    <w:p>
      <w:pPr>
        <w:pStyle w:val="Normal"/>
        <w:numPr>
          <w:ilvl w:val="0"/>
          <w:numId w:val="5"/>
        </w:numPr>
        <w:rPr>
          <w:sz w:val="20"/>
        </w:rPr>
      </w:pPr>
      <w:r>
        <w:rPr>
          <w:sz w:val="20"/>
        </w:rPr>
        <w:t>Company Use meters not included</w:t>
      </w:r>
    </w:p>
    <w:p>
      <w:pPr>
        <w:pStyle w:val="Normal"/>
        <w:numPr>
          <w:ilvl w:val="0"/>
          <w:numId w:val="5"/>
        </w:numPr>
        <w:rPr>
          <w:sz w:val="20"/>
        </w:rPr>
      </w:pPr>
      <w:r>
        <w:rPr>
          <w:sz w:val="20"/>
        </w:rPr>
        <w:t>Cost to mail charts in pre-paid Company envelopes is $2.00/station</w:t>
      </w:r>
    </w:p>
    <w:p>
      <w:pPr>
        <w:pStyle w:val="Normal"/>
        <w:numPr>
          <w:ilvl w:val="0"/>
          <w:numId w:val="5"/>
        </w:numPr>
        <w:rPr>
          <w:sz w:val="20"/>
        </w:rPr>
      </w:pPr>
      <w:r>
        <w:rPr>
          <w:sz w:val="20"/>
        </w:rPr>
        <w:t>Cost to mail charts in USPS Priority Mail is $13.50/station</w:t>
      </w:r>
    </w:p>
    <w:p>
      <w:pPr>
        <w:pStyle w:val="Normal"/>
        <w:rPr>
          <w:sz w:val="20"/>
        </w:rPr>
      </w:pPr>
      <w:r>
        <w:rPr>
          <w:sz w:val="20"/>
        </w:rPr>
      </w:r>
    </w:p>
    <w:p>
      <w:pPr>
        <w:pStyle w:val="Normal"/>
        <w:rPr>
          <w:sz w:val="20"/>
        </w:rPr>
      </w:pPr>
      <w:r>
        <w:rPr>
          <w:sz w:val="20"/>
        </w:rPr>
      </w:r>
    </w:p>
    <w:p>
      <w:pPr>
        <w:pStyle w:val="Normal"/>
        <w:numPr>
          <w:ilvl w:val="1"/>
          <w:numId w:val="4"/>
        </w:numPr>
        <w:rPr>
          <w:b/>
          <w:bCs/>
          <w:sz w:val="20"/>
        </w:rPr>
      </w:pPr>
      <w:r>
        <w:rPr>
          <w:b/>
          <w:bCs/>
          <w:sz w:val="20"/>
        </w:rPr>
        <w:t>Install Skylemetry on all index only meters.</w:t>
      </w:r>
    </w:p>
    <w:p>
      <w:pPr>
        <w:pStyle w:val="Normal"/>
        <w:rPr>
          <w:b/>
          <w:bCs/>
          <w:sz w:val="20"/>
        </w:rPr>
      </w:pPr>
      <w:r>
        <w:rPr>
          <w:b/>
          <w:bCs/>
          <w:sz w:val="20"/>
        </w:rPr>
      </w:r>
    </w:p>
    <w:p>
      <w:pPr>
        <w:pStyle w:val="Normal"/>
        <w:ind w:start="1440" w:end="0"/>
        <w:rPr>
          <w:sz w:val="20"/>
        </w:rPr>
      </w:pPr>
      <w:r>
        <w:rPr>
          <w:sz w:val="20"/>
        </w:rPr>
        <w:t>Active index only meters</w:t>
        <w:tab/>
        <w:tab/>
        <w:tab/>
        <w:t>471 / meters</w:t>
      </w:r>
    </w:p>
    <w:p>
      <w:pPr>
        <w:pStyle w:val="Normal"/>
        <w:ind w:start="1440" w:end="0"/>
        <w:rPr>
          <w:sz w:val="20"/>
        </w:rPr>
      </w:pPr>
      <w:r>
        <w:rPr>
          <w:sz w:val="20"/>
        </w:rPr>
        <w:t>Skylemetry cost per meter</w:t>
        <w:tab/>
        <w:tab/>
        <w:tab/>
        <w:t>$800 / each</w:t>
      </w:r>
    </w:p>
    <w:p>
      <w:pPr>
        <w:pStyle w:val="Normal"/>
        <w:ind w:start="1440" w:end="0"/>
        <w:rPr/>
      </w:pPr>
      <w:r>
        <w:rPr>
          <w:sz w:val="20"/>
        </w:rPr>
        <w:tab/>
      </w:r>
      <w:r>
        <w:rPr>
          <w:b/>
          <w:bCs/>
          <w:sz w:val="20"/>
        </w:rPr>
        <w:t>TOTAL</w:t>
      </w:r>
      <w:r>
        <w:rPr>
          <w:sz w:val="20"/>
        </w:rPr>
        <w:tab/>
        <w:t xml:space="preserve"> (Installation)</w:t>
        <w:tab/>
        <w:tab/>
      </w:r>
      <w:r>
        <w:rPr>
          <w:b/>
          <w:bCs/>
          <w:sz w:val="20"/>
        </w:rPr>
        <w:t>$377,000</w:t>
      </w:r>
    </w:p>
    <w:p>
      <w:pPr>
        <w:pStyle w:val="Normal"/>
        <w:ind w:start="1440" w:end="0"/>
        <w:rPr>
          <w:b/>
          <w:bCs/>
          <w:sz w:val="20"/>
        </w:rPr>
      </w:pPr>
      <w:r>
        <w:rPr>
          <w:b/>
          <w:bCs/>
          <w:sz w:val="20"/>
        </w:rPr>
      </w:r>
    </w:p>
    <w:p>
      <w:pPr>
        <w:pStyle w:val="Normal"/>
        <w:ind w:start="1440" w:end="0"/>
        <w:rPr>
          <w:sz w:val="20"/>
        </w:rPr>
      </w:pPr>
      <w:r>
        <w:rPr>
          <w:sz w:val="20"/>
        </w:rPr>
        <w:t>Ongoing O&amp;M communications cost</w:t>
        <w:tab/>
        <w:t>$5.00 / meter</w:t>
      </w:r>
    </w:p>
    <w:p>
      <w:pPr>
        <w:pStyle w:val="Heading1"/>
        <w:rPr/>
      </w:pPr>
      <w:r>
        <w:rPr/>
        <w:tab/>
        <w:t xml:space="preserve">TOTAL </w:t>
        <w:tab/>
        <w:tab/>
        <w:tab/>
        <w:t>$2,355 / Month</w:t>
      </w:r>
    </w:p>
    <w:p>
      <w:pPr>
        <w:pStyle w:val="Normal"/>
        <w:ind w:start="1440" w:end="0"/>
        <w:rPr>
          <w:b/>
          <w:bCs/>
          <w:sz w:val="20"/>
        </w:rPr>
      </w:pPr>
      <w:r>
        <w:rPr>
          <w:b/>
          <w:bCs/>
          <w:sz w:val="20"/>
        </w:rPr>
      </w:r>
    </w:p>
    <w:p>
      <w:pPr>
        <w:pStyle w:val="Heading2"/>
        <w:numPr>
          <w:ilvl w:val="0"/>
          <w:numId w:val="4"/>
        </w:numPr>
        <w:ind w:hanging="0" w:start="0"/>
        <w:rPr/>
      </w:pPr>
      <w:r>
        <w:rPr/>
        <w:t>Recommendation – Short Term</w:t>
      </w:r>
    </w:p>
    <w:p>
      <w:pPr>
        <w:pStyle w:val="Normal"/>
        <w:ind w:start="360" w:end="0"/>
        <w:rPr>
          <w:sz w:val="20"/>
        </w:rPr>
      </w:pPr>
      <w:r>
        <w:rPr>
          <w:sz w:val="20"/>
        </w:rPr>
      </w:r>
    </w:p>
    <w:p>
      <w:pPr>
        <w:pStyle w:val="Normal"/>
        <w:numPr>
          <w:ilvl w:val="0"/>
          <w:numId w:val="2"/>
        </w:numPr>
        <w:spacing w:before="0" w:after="120"/>
        <w:rPr>
          <w:sz w:val="20"/>
        </w:rPr>
      </w:pPr>
      <w:r>
        <w:rPr>
          <w:sz w:val="20"/>
        </w:rPr>
        <w:t>Update the two delineators to support 31-day PD charts</w:t>
      </w:r>
    </w:p>
    <w:p>
      <w:pPr>
        <w:pStyle w:val="Normal"/>
        <w:numPr>
          <w:ilvl w:val="0"/>
          <w:numId w:val="2"/>
        </w:numPr>
        <w:spacing w:before="0" w:after="120"/>
        <w:rPr>
          <w:sz w:val="20"/>
        </w:rPr>
      </w:pPr>
      <w:r>
        <w:rPr>
          <w:sz w:val="20"/>
        </w:rPr>
        <w:t xml:space="preserve">Implement a modification to the PD entry function to support flow-weighted daily breakouts for index cards. </w:t>
      </w:r>
    </w:p>
    <w:p>
      <w:pPr>
        <w:pStyle w:val="Normal"/>
        <w:numPr>
          <w:ilvl w:val="0"/>
          <w:numId w:val="2"/>
        </w:numPr>
        <w:spacing w:before="0" w:after="120"/>
        <w:rPr>
          <w:sz w:val="20"/>
        </w:rPr>
      </w:pPr>
      <w:r>
        <w:rPr>
          <w:sz w:val="20"/>
        </w:rPr>
        <w:t>Implement USPS Priority Mail to Ensure Delivery of Charts to GMS by the 3</w:t>
      </w:r>
      <w:r>
        <w:rPr>
          <w:sz w:val="20"/>
          <w:vertAlign w:val="superscript"/>
        </w:rPr>
        <w:t>rd</w:t>
      </w:r>
      <w:r>
        <w:rPr>
          <w:sz w:val="20"/>
        </w:rPr>
        <w:t xml:space="preserve"> Working Day of Each Month.</w:t>
      </w:r>
    </w:p>
    <w:p>
      <w:pPr>
        <w:pStyle w:val="Normal"/>
        <w:numPr>
          <w:ilvl w:val="0"/>
          <w:numId w:val="2"/>
        </w:numPr>
        <w:spacing w:before="0" w:after="120"/>
        <w:rPr>
          <w:sz w:val="20"/>
        </w:rPr>
      </w:pPr>
      <w:r>
        <w:rPr>
          <w:sz w:val="20"/>
        </w:rPr>
        <w:t>Use calculated daily breakout to provide daily volume estimates for late charts or charts that couldn’t be processed by the delineators.</w:t>
      </w:r>
    </w:p>
    <w:p>
      <w:pPr>
        <w:pStyle w:val="Normal"/>
        <w:numPr>
          <w:ilvl w:val="0"/>
          <w:numId w:val="2"/>
        </w:numPr>
        <w:spacing w:before="0" w:after="120"/>
        <w:rPr>
          <w:sz w:val="20"/>
        </w:rPr>
      </w:pPr>
      <w:r>
        <w:rPr>
          <w:sz w:val="20"/>
        </w:rPr>
        <w:t>Perform PPA’s on late charts if the integrated volumes differ from the calculated volumes by an appreciable amount (to be determined by consensus).</w:t>
      </w:r>
    </w:p>
    <w:p>
      <w:pPr>
        <w:pStyle w:val="Normal"/>
        <w:ind w:start="1080" w:end="0"/>
        <w:rPr>
          <w:sz w:val="20"/>
        </w:rPr>
      </w:pPr>
      <w:r>
        <w:rPr>
          <w:sz w:val="20"/>
        </w:rPr>
      </w:r>
    </w:p>
    <w:p>
      <w:pPr>
        <w:pStyle w:val="Heading2"/>
        <w:numPr>
          <w:ilvl w:val="0"/>
          <w:numId w:val="4"/>
        </w:numPr>
        <w:ind w:hanging="0" w:start="0"/>
        <w:rPr/>
      </w:pPr>
      <w:r>
        <w:rPr/>
        <w:t>Recommendation – Long Term</w:t>
      </w:r>
    </w:p>
    <w:p>
      <w:pPr>
        <w:pStyle w:val="Normal"/>
        <w:rPr/>
      </w:pPr>
      <w:r>
        <w:rPr/>
      </w:r>
    </w:p>
    <w:p>
      <w:pPr>
        <w:pStyle w:val="Normal"/>
        <w:numPr>
          <w:ilvl w:val="0"/>
          <w:numId w:val="2"/>
        </w:numPr>
        <w:spacing w:before="0" w:after="120"/>
        <w:rPr>
          <w:sz w:val="20"/>
        </w:rPr>
      </w:pPr>
      <w:r>
        <w:rPr>
          <w:sz w:val="20"/>
        </w:rPr>
        <w:t>Setup a multi-year program to replace index read meters with Skylemetry (Bullhorn) systems and charted stations with either an enhanced Bullhorn or EFM computers.</w:t>
      </w:r>
    </w:p>
    <w:p>
      <w:pPr>
        <w:pStyle w:val="Normal"/>
        <w:tabs>
          <w:tab w:val="clear" w:pos="720"/>
          <w:tab w:val="left" w:pos="1080" w:leader="none"/>
        </w:tabs>
        <w:ind w:start="360" w:end="0"/>
        <w:rPr>
          <w:b/>
          <w:bCs/>
          <w:sz w:val="20"/>
        </w:rPr>
      </w:pPr>
      <w:r>
        <w:rPr>
          <w:b/>
          <w:bCs/>
          <w:sz w:val="20"/>
        </w:rPr>
      </w:r>
    </w:p>
    <w:p>
      <w:pPr>
        <w:pStyle w:val="Heading2"/>
        <w:numPr>
          <w:ilvl w:val="0"/>
          <w:numId w:val="4"/>
        </w:numPr>
        <w:ind w:hanging="0" w:start="0"/>
        <w:rPr/>
      </w:pPr>
      <w:r>
        <w:rPr/>
        <w:t>Responsibilities</w:t>
      </w:r>
    </w:p>
    <w:p>
      <w:pPr>
        <w:pStyle w:val="Normal"/>
        <w:tabs>
          <w:tab w:val="clear" w:pos="720"/>
          <w:tab w:val="left" w:pos="1080" w:leader="none"/>
        </w:tabs>
        <w:ind w:start="360" w:end="0"/>
        <w:rPr>
          <w:sz w:val="20"/>
        </w:rPr>
      </w:pPr>
      <w:r>
        <w:rPr>
          <w:sz w:val="20"/>
        </w:rPr>
      </w:r>
    </w:p>
    <w:tbl>
      <w:tblPr>
        <w:tblW w:w="8496" w:type="dxa"/>
        <w:jc w:val="start"/>
        <w:tblInd w:w="360" w:type="dxa"/>
        <w:tblLayout w:type="fixed"/>
        <w:tblCellMar>
          <w:top w:w="0" w:type="dxa"/>
          <w:start w:w="108" w:type="dxa"/>
          <w:bottom w:w="0" w:type="dxa"/>
          <w:end w:w="108" w:type="dxa"/>
        </w:tblCellMar>
      </w:tblPr>
      <w:tblGrid>
        <w:gridCol w:w="6048"/>
        <w:gridCol w:w="2448"/>
      </w:tblGrid>
      <w:tr>
        <w:trPr/>
        <w:tc>
          <w:tcPr>
            <w:tcW w:w="6048" w:type="dxa"/>
            <w:tcBorders/>
          </w:tcPr>
          <w:p>
            <w:pPr>
              <w:pStyle w:val="Heading5"/>
              <w:ind w:hanging="0" w:start="1080" w:end="0"/>
              <w:rPr/>
            </w:pPr>
            <w:r>
              <w:rPr/>
              <w:t>Description</w:t>
            </w:r>
          </w:p>
        </w:tc>
        <w:tc>
          <w:tcPr>
            <w:tcW w:w="2448" w:type="dxa"/>
            <w:tcBorders/>
          </w:tcPr>
          <w:p>
            <w:pPr>
              <w:pStyle w:val="Heading5"/>
              <w:ind w:hanging="0" w:start="0"/>
              <w:rPr/>
            </w:pPr>
            <w:r>
              <w:rPr/>
              <w:t>Responsibility</w:t>
            </w:r>
          </w:p>
        </w:tc>
      </w:tr>
      <w:tr>
        <w:trPr/>
        <w:tc>
          <w:tcPr>
            <w:tcW w:w="6048" w:type="dxa"/>
            <w:tcBorders/>
          </w:tcPr>
          <w:p>
            <w:pPr>
              <w:pStyle w:val="Normal"/>
              <w:numPr>
                <w:ilvl w:val="0"/>
                <w:numId w:val="2"/>
              </w:numPr>
              <w:spacing w:before="0" w:after="120"/>
              <w:rPr>
                <w:sz w:val="20"/>
              </w:rPr>
            </w:pPr>
            <w:r>
              <w:rPr>
                <w:sz w:val="20"/>
              </w:rPr>
              <w:t>Upgrade Delineator equipment</w:t>
            </w:r>
          </w:p>
        </w:tc>
        <w:tc>
          <w:tcPr>
            <w:tcW w:w="2448" w:type="dxa"/>
            <w:tcBorders/>
          </w:tcPr>
          <w:p>
            <w:pPr>
              <w:pStyle w:val="Normal"/>
              <w:tabs>
                <w:tab w:val="clear" w:pos="720"/>
                <w:tab w:val="left" w:pos="1080" w:leader="none"/>
              </w:tabs>
              <w:spacing w:before="0" w:after="120"/>
              <w:rPr>
                <w:sz w:val="20"/>
              </w:rPr>
            </w:pPr>
            <w:r>
              <w:rPr>
                <w:sz w:val="20"/>
              </w:rPr>
              <w:t>GMS</w:t>
            </w:r>
          </w:p>
        </w:tc>
      </w:tr>
      <w:tr>
        <w:trPr/>
        <w:tc>
          <w:tcPr>
            <w:tcW w:w="6048" w:type="dxa"/>
            <w:tcBorders/>
          </w:tcPr>
          <w:p>
            <w:pPr>
              <w:pStyle w:val="Normal"/>
              <w:numPr>
                <w:ilvl w:val="0"/>
                <w:numId w:val="2"/>
              </w:numPr>
              <w:spacing w:before="0" w:after="120"/>
              <w:rPr>
                <w:sz w:val="20"/>
              </w:rPr>
            </w:pPr>
            <w:r>
              <w:rPr>
                <w:sz w:val="20"/>
              </w:rPr>
              <w:t>Implement equations to calculate estimated daily volumes for index cards, late PD charts and charts that can’t be processed with delineator equipment</w:t>
            </w:r>
          </w:p>
        </w:tc>
        <w:tc>
          <w:tcPr>
            <w:tcW w:w="2448" w:type="dxa"/>
            <w:tcBorders/>
          </w:tcPr>
          <w:p>
            <w:pPr>
              <w:pStyle w:val="Normal"/>
              <w:tabs>
                <w:tab w:val="clear" w:pos="720"/>
                <w:tab w:val="left" w:pos="1080" w:leader="none"/>
              </w:tabs>
              <w:spacing w:before="0" w:after="120"/>
              <w:rPr>
                <w:sz w:val="20"/>
              </w:rPr>
            </w:pPr>
            <w:r>
              <w:rPr>
                <w:sz w:val="20"/>
              </w:rPr>
              <w:t>GMS &amp; Kenneth Cessac</w:t>
            </w:r>
          </w:p>
        </w:tc>
      </w:tr>
      <w:tr>
        <w:trPr/>
        <w:tc>
          <w:tcPr>
            <w:tcW w:w="6048" w:type="dxa"/>
            <w:tcBorders/>
          </w:tcPr>
          <w:p>
            <w:pPr>
              <w:pStyle w:val="Normal"/>
              <w:numPr>
                <w:ilvl w:val="0"/>
                <w:numId w:val="2"/>
              </w:numPr>
              <w:spacing w:before="0" w:after="120"/>
              <w:rPr>
                <w:sz w:val="20"/>
              </w:rPr>
            </w:pPr>
            <w:r>
              <w:rPr>
                <w:sz w:val="20"/>
              </w:rPr>
              <w:t>Communicate chart and index processing methods to customers</w:t>
            </w:r>
          </w:p>
        </w:tc>
        <w:tc>
          <w:tcPr>
            <w:tcW w:w="2448" w:type="dxa"/>
            <w:tcBorders/>
          </w:tcPr>
          <w:p>
            <w:pPr>
              <w:pStyle w:val="Normal"/>
              <w:tabs>
                <w:tab w:val="clear" w:pos="720"/>
                <w:tab w:val="left" w:pos="1080" w:leader="none"/>
              </w:tabs>
              <w:spacing w:before="0" w:after="120"/>
              <w:rPr>
                <w:sz w:val="20"/>
              </w:rPr>
            </w:pPr>
            <w:r>
              <w:rPr>
                <w:sz w:val="20"/>
              </w:rPr>
              <w:t>Marketing</w:t>
            </w:r>
          </w:p>
        </w:tc>
      </w:tr>
      <w:tr>
        <w:trPr/>
        <w:tc>
          <w:tcPr>
            <w:tcW w:w="6048" w:type="dxa"/>
            <w:tcBorders/>
          </w:tcPr>
          <w:p>
            <w:pPr>
              <w:pStyle w:val="Normal"/>
              <w:numPr>
                <w:ilvl w:val="0"/>
                <w:numId w:val="2"/>
              </w:numPr>
              <w:spacing w:before="0" w:after="120"/>
              <w:rPr>
                <w:sz w:val="20"/>
              </w:rPr>
            </w:pPr>
            <w:r>
              <w:rPr>
                <w:sz w:val="20"/>
              </w:rPr>
              <w:t>Order and stock blank chart envelopes</w:t>
            </w:r>
          </w:p>
        </w:tc>
        <w:tc>
          <w:tcPr>
            <w:tcW w:w="2448" w:type="dxa"/>
            <w:tcBorders/>
          </w:tcPr>
          <w:p>
            <w:pPr>
              <w:pStyle w:val="Normal"/>
              <w:tabs>
                <w:tab w:val="clear" w:pos="720"/>
                <w:tab w:val="left" w:pos="1080" w:leader="none"/>
              </w:tabs>
              <w:spacing w:before="0" w:after="120"/>
              <w:rPr>
                <w:sz w:val="20"/>
              </w:rPr>
            </w:pPr>
            <w:r>
              <w:rPr>
                <w:sz w:val="20"/>
              </w:rPr>
              <w:t>GMS and GSS</w:t>
            </w:r>
          </w:p>
        </w:tc>
      </w:tr>
      <w:tr>
        <w:trPr/>
        <w:tc>
          <w:tcPr>
            <w:tcW w:w="6048" w:type="dxa"/>
            <w:tcBorders/>
          </w:tcPr>
          <w:p>
            <w:pPr>
              <w:pStyle w:val="Normal"/>
              <w:numPr>
                <w:ilvl w:val="0"/>
                <w:numId w:val="2"/>
              </w:numPr>
              <w:spacing w:before="0" w:after="120"/>
              <w:rPr>
                <w:sz w:val="20"/>
              </w:rPr>
            </w:pPr>
            <w:r>
              <w:rPr>
                <w:sz w:val="20"/>
              </w:rPr>
              <w:t>Purchase USPS Priority mail address labels for chart envelopes</w:t>
            </w:r>
          </w:p>
        </w:tc>
        <w:tc>
          <w:tcPr>
            <w:tcW w:w="2448" w:type="dxa"/>
            <w:tcBorders/>
          </w:tcPr>
          <w:p>
            <w:pPr>
              <w:pStyle w:val="Normal"/>
              <w:tabs>
                <w:tab w:val="clear" w:pos="720"/>
                <w:tab w:val="left" w:pos="1080" w:leader="none"/>
              </w:tabs>
              <w:spacing w:before="0" w:after="120"/>
              <w:rPr>
                <w:sz w:val="20"/>
              </w:rPr>
            </w:pPr>
            <w:r>
              <w:rPr>
                <w:sz w:val="20"/>
              </w:rPr>
              <w:t>Field Operations</w:t>
            </w:r>
          </w:p>
        </w:tc>
      </w:tr>
      <w:tr>
        <w:trPr/>
        <w:tc>
          <w:tcPr>
            <w:tcW w:w="6048" w:type="dxa"/>
            <w:tcBorders/>
          </w:tcPr>
          <w:p>
            <w:pPr>
              <w:pStyle w:val="Normal"/>
              <w:numPr>
                <w:ilvl w:val="0"/>
                <w:numId w:val="2"/>
              </w:numPr>
              <w:spacing w:before="0" w:after="120"/>
              <w:rPr>
                <w:sz w:val="20"/>
              </w:rPr>
            </w:pPr>
            <w:r>
              <w:rPr>
                <w:sz w:val="20"/>
              </w:rPr>
              <w:t>Implement USPS Priority mail and train customers and chart changers</w:t>
            </w:r>
          </w:p>
        </w:tc>
        <w:tc>
          <w:tcPr>
            <w:tcW w:w="2448" w:type="dxa"/>
            <w:tcBorders/>
          </w:tcPr>
          <w:p>
            <w:pPr>
              <w:pStyle w:val="Normal"/>
              <w:tabs>
                <w:tab w:val="clear" w:pos="720"/>
                <w:tab w:val="left" w:pos="1080" w:leader="none"/>
              </w:tabs>
              <w:spacing w:before="0" w:after="120"/>
              <w:rPr>
                <w:sz w:val="20"/>
              </w:rPr>
            </w:pPr>
            <w:r>
              <w:rPr>
                <w:sz w:val="20"/>
              </w:rPr>
              <w:t>Field Operations</w:t>
            </w:r>
          </w:p>
        </w:tc>
      </w:tr>
      <w:tr>
        <w:trPr/>
        <w:tc>
          <w:tcPr>
            <w:tcW w:w="6048" w:type="dxa"/>
            <w:tcBorders/>
          </w:tcPr>
          <w:p>
            <w:pPr>
              <w:pStyle w:val="Normal"/>
              <w:numPr>
                <w:ilvl w:val="0"/>
                <w:numId w:val="2"/>
              </w:numPr>
              <w:spacing w:before="0" w:after="120"/>
              <w:rPr>
                <w:sz w:val="20"/>
              </w:rPr>
            </w:pPr>
            <w:r>
              <w:rPr>
                <w:sz w:val="20"/>
              </w:rPr>
              <w:t>Develop multi-year program to upgrade meters to EFM</w:t>
            </w:r>
          </w:p>
          <w:p>
            <w:pPr>
              <w:pStyle w:val="Normal"/>
              <w:numPr>
                <w:ilvl w:val="0"/>
                <w:numId w:val="2"/>
              </w:numPr>
              <w:spacing w:before="0" w:after="120"/>
              <w:rPr>
                <w:sz w:val="20"/>
              </w:rPr>
            </w:pPr>
            <w:r>
              <w:rPr>
                <w:sz w:val="20"/>
              </w:rPr>
              <w:t>Ensure volume cycles are more than ¼ inch apart on PD charts</w:t>
            </w:r>
          </w:p>
          <w:p>
            <w:pPr>
              <w:pStyle w:val="Normal"/>
              <w:numPr>
                <w:ilvl w:val="0"/>
                <w:numId w:val="2"/>
              </w:numPr>
              <w:spacing w:before="0" w:after="120"/>
              <w:rPr>
                <w:sz w:val="20"/>
              </w:rPr>
            </w:pPr>
            <w:r>
              <w:rPr>
                <w:sz w:val="20"/>
              </w:rPr>
              <w:t>Ensure volume cycles and pressure data don’t overlap on PD charts</w:t>
            </w:r>
          </w:p>
        </w:tc>
        <w:tc>
          <w:tcPr>
            <w:tcW w:w="2448" w:type="dxa"/>
            <w:tcBorders/>
          </w:tcPr>
          <w:p>
            <w:pPr>
              <w:pStyle w:val="Normal"/>
              <w:tabs>
                <w:tab w:val="clear" w:pos="720"/>
                <w:tab w:val="left" w:pos="1080" w:leader="none"/>
              </w:tabs>
              <w:spacing w:before="0" w:after="120"/>
              <w:rPr>
                <w:sz w:val="20"/>
              </w:rPr>
            </w:pPr>
            <w:r>
              <w:rPr>
                <w:sz w:val="20"/>
              </w:rPr>
              <w:t>Measurement Services/Marketing</w:t>
            </w:r>
          </w:p>
          <w:p>
            <w:pPr>
              <w:pStyle w:val="Normal"/>
              <w:tabs>
                <w:tab w:val="clear" w:pos="720"/>
                <w:tab w:val="left" w:pos="1080" w:leader="none"/>
              </w:tabs>
              <w:spacing w:before="0" w:after="120"/>
              <w:rPr>
                <w:sz w:val="20"/>
              </w:rPr>
            </w:pPr>
            <w:r>
              <w:rPr>
                <w:sz w:val="20"/>
              </w:rPr>
              <w:t>Field Operations</w:t>
            </w:r>
          </w:p>
          <w:p>
            <w:pPr>
              <w:pStyle w:val="Normal"/>
              <w:tabs>
                <w:tab w:val="clear" w:pos="720"/>
                <w:tab w:val="left" w:pos="1080" w:leader="none"/>
              </w:tabs>
              <w:spacing w:before="0" w:after="120"/>
              <w:rPr>
                <w:sz w:val="20"/>
              </w:rPr>
            </w:pPr>
            <w:r>
              <w:rPr>
                <w:sz w:val="20"/>
              </w:rPr>
            </w:r>
          </w:p>
          <w:p>
            <w:pPr>
              <w:pStyle w:val="Normal"/>
              <w:tabs>
                <w:tab w:val="clear" w:pos="720"/>
                <w:tab w:val="left" w:pos="1080" w:leader="none"/>
              </w:tabs>
              <w:spacing w:before="0" w:after="120"/>
              <w:rPr>
                <w:sz w:val="20"/>
              </w:rPr>
            </w:pPr>
            <w:r>
              <w:rPr>
                <w:sz w:val="20"/>
              </w:rPr>
              <w:t>Field Operations</w:t>
            </w:r>
          </w:p>
        </w:tc>
      </w:tr>
    </w:tbl>
    <w:p>
      <w:pPr>
        <w:pStyle w:val="Normal"/>
        <w:tabs>
          <w:tab w:val="clear" w:pos="720"/>
          <w:tab w:val="left" w:pos="1080" w:leader="none"/>
        </w:tabs>
        <w:ind w:start="360" w:end="0"/>
        <w:rPr>
          <w:sz w:val="20"/>
        </w:rPr>
      </w:pPr>
      <w:r>
        <w:rPr>
          <w:sz w:val="20"/>
        </w:rPr>
      </w:r>
    </w:p>
    <w:p>
      <w:pPr>
        <w:pStyle w:val="Normal"/>
        <w:tabs>
          <w:tab w:val="clear" w:pos="720"/>
          <w:tab w:val="left" w:pos="1080" w:leader="none"/>
        </w:tabs>
        <w:ind w:start="360" w:end="0"/>
        <w:rPr/>
      </w:pPr>
      <w:r>
        <w:rPr>
          <w:b/>
          <w:bCs/>
          <w:sz w:val="20"/>
        </w:rPr>
        <w:tab/>
        <w:tab/>
        <w:tab/>
        <w:tab/>
        <w:tab/>
      </w:r>
      <w:r>
        <w:rPr>
          <w:sz w:val="20"/>
        </w:rPr>
        <w:tab/>
        <w:tab/>
        <w:tab/>
        <w:tab/>
        <w:tab/>
      </w:r>
    </w:p>
    <w:p>
      <w:pPr>
        <w:pStyle w:val="Normal"/>
        <w:ind w:start="1440" w:end="0"/>
        <w:rPr>
          <w:b/>
          <w:bCs/>
          <w:sz w:val="20"/>
        </w:rPr>
      </w:pPr>
      <w:r>
        <w:rPr>
          <w:b/>
          <w:bCs/>
          <w:sz w:val="20"/>
        </w:rPr>
      </w:r>
    </w:p>
    <w:p>
      <w:pPr>
        <w:pStyle w:val="Normal"/>
        <w:ind w:start="1440" w:end="0"/>
        <w:rPr>
          <w:b/>
          <w:bCs/>
          <w:sz w:val="20"/>
        </w:rPr>
      </w:pPr>
      <w:r>
        <w:rPr>
          <w:b/>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sz w:val="16"/>
      </w:rPr>
    </w:lvl>
  </w:abstractNum>
  <w:abstractNum w:abstractNumId="3">
    <w:lvl w:ilvl="0">
      <w:start w:val="1"/>
      <w:numFmt w:val="bullet"/>
      <w:lvlText w:val=""/>
      <w:lvlJc w:val="start"/>
      <w:pPr>
        <w:tabs>
          <w:tab w:val="num" w:pos="2218"/>
        </w:tabs>
        <w:ind w:start="2218" w:hanging="360"/>
      </w:pPr>
      <w:rPr>
        <w:rFonts w:ascii="Wingdings" w:hAnsi="Wingdings" w:cs="Wingdings" w:hint="default"/>
        <w:sz w:val="16"/>
      </w:rPr>
    </w:lvl>
  </w:abstractNum>
  <w:abstractNum w:abstractNumId="4">
    <w:lvl w:ilvl="0">
      <w:start w:val="1"/>
      <w:numFmt w:val="upperRoman"/>
      <w:lvlText w:val="%1."/>
      <w:lvlJc w:val="start"/>
      <w:pPr>
        <w:tabs>
          <w:tab w:val="num" w:pos="1080"/>
        </w:tabs>
        <w:ind w:start="1080" w:hanging="720"/>
      </w:pPr>
      <w:rPr/>
    </w:lvl>
    <w:lvl w:ilvl="1">
      <w:start w:val="1"/>
      <w:numFmt w:val="upperLetter"/>
      <w:lvlText w:val="%2."/>
      <w:lvlJc w:val="start"/>
      <w:pPr>
        <w:tabs>
          <w:tab w:val="num" w:pos="1440"/>
        </w:tabs>
        <w:ind w:start="1440" w:hanging="360"/>
      </w:pPr>
      <w:rPr/>
    </w:lvl>
    <w:lvl w:ilvl="2">
      <w:start w:val="1"/>
      <w:numFmt w:val="bullet"/>
      <w:lvlText w:val=""/>
      <w:lvlJc w:val="start"/>
      <w:pPr>
        <w:tabs>
          <w:tab w:val="num" w:pos="2340"/>
        </w:tabs>
        <w:ind w:start="2340" w:hanging="360"/>
      </w:pPr>
      <w:rPr>
        <w:rFonts w:ascii="Wingdings" w:hAnsi="Wingdings" w:cs="Wingdings" w:hint="default"/>
        <w:sz w:val="16"/>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2520"/>
        </w:tabs>
        <w:ind w:start="25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bCs/>
      <w:sz w:val="20"/>
    </w:rPr>
  </w:style>
  <w:style w:type="paragraph" w:styleId="Heading2">
    <w:name w:val="heading 2"/>
    <w:basedOn w:val="Normal"/>
    <w:next w:val="Normal"/>
    <w:qFormat/>
    <w:pPr>
      <w:keepNext w:val="true"/>
      <w:numPr>
        <w:ilvl w:val="0"/>
        <w:numId w:val="4"/>
      </w:numPr>
      <w:outlineLvl w:val="1"/>
    </w:pPr>
    <w:rPr>
      <w:b/>
      <w:bCs/>
      <w:sz w:val="20"/>
    </w:rPr>
  </w:style>
  <w:style w:type="paragraph" w:styleId="Heading3">
    <w:name w:val="heading 3"/>
    <w:basedOn w:val="Normal"/>
    <w:next w:val="Normal"/>
    <w:qFormat/>
    <w:pPr>
      <w:keepNext w:val="true"/>
      <w:numPr>
        <w:ilvl w:val="0"/>
        <w:numId w:val="4"/>
      </w:numPr>
      <w:outlineLvl w:val="2"/>
    </w:pPr>
    <w:rPr>
      <w:b/>
      <w:bCs/>
      <w:sz w:val="20"/>
    </w:rPr>
  </w:style>
  <w:style w:type="paragraph" w:styleId="Heading4">
    <w:name w:val="heading 4"/>
    <w:basedOn w:val="Normal"/>
    <w:next w:val="Normal"/>
    <w:qFormat/>
    <w:pPr>
      <w:keepNext w:val="true"/>
      <w:numPr>
        <w:ilvl w:val="3"/>
        <w:numId w:val="1"/>
      </w:numPr>
      <w:ind w:hanging="0" w:start="360" w:end="0"/>
      <w:outlineLvl w:val="3"/>
    </w:pPr>
    <w:rPr>
      <w:b/>
      <w:bCs/>
      <w:sz w:val="20"/>
    </w:rPr>
  </w:style>
  <w:style w:type="paragraph" w:styleId="Heading5">
    <w:name w:val="heading 5"/>
    <w:basedOn w:val="Normal"/>
    <w:next w:val="Normal"/>
    <w:qFormat/>
    <w:pPr>
      <w:keepNext w:val="true"/>
      <w:numPr>
        <w:ilvl w:val="4"/>
        <w:numId w:val="1"/>
      </w:numPr>
      <w:tabs>
        <w:tab w:val="clear" w:pos="720"/>
        <w:tab w:val="left" w:pos="1080" w:leader="none"/>
      </w:tabs>
      <w:outlineLvl w:val="4"/>
    </w:pPr>
    <w:rPr>
      <w:b/>
      <w:bCs/>
      <w:sz w:val="20"/>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2">
    <w:name w:val="WW8Num3z2"/>
    <w:qFormat/>
    <w:rPr>
      <w:rFonts w:ascii="Wingdings" w:hAnsi="Wingdings" w:cs="Wingdings"/>
      <w:sz w:val="16"/>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2001-12-13T13:49:00Z</dcterms:created>
  <dc:creator>cthomps3</dc:creator>
  <dc:description/>
  <dc:language>en-CA</dc:language>
  <cp:lastModifiedBy>cthomps3</cp:lastModifiedBy>
  <cp:lastPrinted>2001-12-13T09:50:00Z</cp:lastPrinted>
  <dcterms:modified xsi:type="dcterms:W3CDTF">2001-12-13T13:49:00Z</dcterms:modified>
  <cp:revision>2</cp:revision>
  <dc:subject/>
  <dc:title>DAILY VOLUME REQUIREMENTS FOR NNG METERS</dc:title>
</cp:coreProperties>
</file>