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top w:val="single" w:sz="6" w:space="1" w:color="000000"/>
          <w:left w:val="single" w:sz="6" w:space="3" w:color="000000"/>
          <w:bottom w:val="single" w:sz="18" w:space="0" w:color="000000"/>
          <w:right w:val="single" w:sz="6" w:space="1" w:color="000000"/>
        </w:pBdr>
        <w:rPr>
          <w:sz w:val="22"/>
        </w:rPr>
      </w:pPr>
      <w:r>
        <w:rPr>
          <w:sz w:val="22"/>
        </w:rPr>
        <w:t>Procedures</w:t>
      </w:r>
    </w:p>
    <w:p>
      <w:pPr>
        <w:pStyle w:val="Header"/>
        <w:numPr>
          <w:ilvl w:val="0"/>
          <w:numId w:val="2"/>
        </w:numPr>
        <w:tabs>
          <w:tab w:val="clear" w:pos="4320"/>
          <w:tab w:val="clear" w:pos="8640"/>
        </w:tabs>
        <w:rPr/>
      </w:pPr>
      <w:r>
        <w:rPr/>
        <w:t>Facility Planning and Gas Control will approve LFT volumes.</w:t>
      </w:r>
    </w:p>
    <w:p>
      <w:pPr>
        <w:pStyle w:val="Header"/>
        <w:tabs>
          <w:tab w:val="clear" w:pos="4320"/>
          <w:tab w:val="clear" w:pos="8640"/>
        </w:tabs>
        <w:rPr/>
      </w:pPr>
      <w:r>
        <w:rPr/>
      </w:r>
    </w:p>
    <w:p>
      <w:pPr>
        <w:pStyle w:val="Header"/>
        <w:numPr>
          <w:ilvl w:val="0"/>
          <w:numId w:val="2"/>
        </w:numPr>
        <w:tabs>
          <w:tab w:val="clear" w:pos="4320"/>
          <w:tab w:val="clear" w:pos="8640"/>
        </w:tabs>
        <w:rPr/>
      </w:pPr>
      <w:r>
        <w:rPr/>
        <w:t>Marketing will determine the number of Limited Days for the capacity (up to 10 per month).</w:t>
      </w:r>
    </w:p>
    <w:p>
      <w:pPr>
        <w:pStyle w:val="Header"/>
        <w:tabs>
          <w:tab w:val="clear" w:pos="4320"/>
          <w:tab w:val="clear" w:pos="8640"/>
        </w:tabs>
        <w:rPr/>
      </w:pPr>
      <w:r>
        <w:rPr/>
      </w:r>
    </w:p>
    <w:p>
      <w:pPr>
        <w:pStyle w:val="Header"/>
        <w:numPr>
          <w:ilvl w:val="0"/>
          <w:numId w:val="2"/>
        </w:numPr>
        <w:tabs>
          <w:tab w:val="clear" w:pos="4320"/>
          <w:tab w:val="clear" w:pos="8640"/>
        </w:tabs>
        <w:rPr/>
      </w:pPr>
      <w:r>
        <w:rPr/>
        <w:t>Marketing will provide standard LFT posting language that has been approved by legal and regulatory to the EBDG group for posting (Toby or Legale).</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Marketing will verify with Gas Control if there is any scheduled maintenance for the area in which LFT capacity is. If there is scheduled maintenance (which will cause a curtailment), then we are unable to sell LFT capacity if the term of the maintenance exceeds the number of contractual limited days. </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Market Services (EBDG) will post notice of available LFT capacity to the web site. LFT capacity available for up to a 1-month term will be posted on the web site for a minimum of 1 day prior to awarding capacity. LFT capacity available for more than a 1-month term will be posted on the web site for a minimum of 2 days. </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Marketing will prepare a deal sheet, CAF is the same as for TFX. Marketing will obtain an executed Gas Transportation Request form from the shipper.  Marketing to Discuss the Overrun waiver and negotiate overrun rate, if applicable. No pooling point will be allowed on LFT contracts as a delivery point. Pooling points can be used as receipt points on LFT contracts. Due to the way we will account for Limited Days, they can only be counted at specific receipt/ delivery points. Make sure a copy of the Gas Transportation Request Form is routed through Contract Administration. We have the ability to negotiate the number of Limited Days under each contract (up to 10 days per month), and when Contracts sets up the agreement, the negotiated number must be input into the contracts system. </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Contract administration will generate the contract and Marketing will enter the rates the same as with TFX. If any alternate points are allowed, a rate must be entered into the system regardless of whether or not it’s the same rate. </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Gas Control will set the appropriate capacity level. </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A Limited Day must be called no later than 26 hours before the Limited Gas Day begins. Gas Control will determine whether the next gas day will be a Limited Day and if so, for which LFT contracts(s). Gas Control will then post Notice of Limited Day on the web site under Non Critical section no later than 26 hours before the Limited Gas Day begins. A Limited Day can be called by point, area, lateral or globally. A Limited Day is called on the primary path only. </w:t>
      </w:r>
    </w:p>
    <w:p>
      <w:pPr>
        <w:pStyle w:val="Header"/>
        <w:tabs>
          <w:tab w:val="clear" w:pos="4320"/>
          <w:tab w:val="clear" w:pos="8640"/>
        </w:tabs>
        <w:rPr/>
      </w:pPr>
      <w:r>
        <w:rPr/>
      </w:r>
    </w:p>
    <w:p>
      <w:pPr>
        <w:pStyle w:val="Header"/>
        <w:numPr>
          <w:ilvl w:val="0"/>
          <w:numId w:val="2"/>
        </w:numPr>
        <w:tabs>
          <w:tab w:val="clear" w:pos="4320"/>
          <w:tab w:val="clear" w:pos="8640"/>
        </w:tabs>
        <w:rPr/>
      </w:pPr>
      <w:r>
        <w:rPr/>
        <w:t>If a Limited Day has been called for the next gas day, include the announcement of a Limited Day in the daily recording.</w:t>
      </w:r>
    </w:p>
    <w:p>
      <w:pPr>
        <w:pStyle w:val="Header"/>
        <w:tabs>
          <w:tab w:val="clear" w:pos="4320"/>
          <w:tab w:val="clear" w:pos="8640"/>
        </w:tabs>
        <w:rPr/>
      </w:pPr>
      <w:r>
        <w:rPr/>
      </w:r>
    </w:p>
    <w:p>
      <w:pPr>
        <w:pStyle w:val="Header"/>
        <w:numPr>
          <w:ilvl w:val="0"/>
          <w:numId w:val="2"/>
        </w:numPr>
        <w:tabs>
          <w:tab w:val="clear" w:pos="4320"/>
          <w:tab w:val="clear" w:pos="8640"/>
        </w:tabs>
        <w:rPr/>
      </w:pPr>
      <w:r>
        <w:rPr/>
        <w:t>Gas Control should notify Market Services of a Limited Day.</w:t>
      </w:r>
    </w:p>
    <w:p>
      <w:pPr>
        <w:pStyle w:val="Header"/>
        <w:tabs>
          <w:tab w:val="clear" w:pos="4320"/>
          <w:tab w:val="clear" w:pos="8640"/>
        </w:tabs>
        <w:rPr/>
      </w:pPr>
      <w:r>
        <w:rPr/>
      </w:r>
    </w:p>
    <w:p>
      <w:pPr>
        <w:pStyle w:val="Header"/>
        <w:numPr>
          <w:ilvl w:val="0"/>
          <w:numId w:val="2"/>
        </w:numPr>
        <w:tabs>
          <w:tab w:val="clear" w:pos="4320"/>
          <w:tab w:val="clear" w:pos="8640"/>
        </w:tabs>
        <w:rPr/>
      </w:pPr>
      <w:r>
        <w:rPr/>
        <w:t xml:space="preserve">If a Limited day is called subsequent to the morning meeting (between 8:15 – 9:30 am CCT), yet still applies for the following Gas Day, notify Marketing to change the daily recording. </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ing1"/>
        <w:pBdr>
          <w:top w:val="single" w:sz="6" w:space="1" w:color="000000"/>
          <w:left w:val="single" w:sz="6" w:space="3" w:color="000000"/>
          <w:bottom w:val="single" w:sz="18" w:space="0" w:color="000000"/>
          <w:right w:val="single" w:sz="6" w:space="1" w:color="000000"/>
        </w:pBdr>
        <w:rPr>
          <w:sz w:val="22"/>
        </w:rPr>
      </w:pPr>
      <w:r>
        <w:rPr>
          <w:sz w:val="22"/>
        </w:rPr>
        <w:t>Procedures</w:t>
      </w:r>
    </w:p>
    <w:p>
      <w:pPr>
        <w:pStyle w:val="Header"/>
        <w:tabs>
          <w:tab w:val="clear" w:pos="4320"/>
          <w:tab w:val="clear" w:pos="8640"/>
        </w:tabs>
        <w:rPr>
          <w:sz w:val="22"/>
        </w:rPr>
      </w:pPr>
      <w:r>
        <w:rPr>
          <w:sz w:val="22"/>
        </w:rPr>
      </w:r>
    </w:p>
    <w:p>
      <w:pPr>
        <w:pStyle w:val="Header"/>
        <w:tabs>
          <w:tab w:val="clear" w:pos="4320"/>
          <w:tab w:val="clear" w:pos="8640"/>
        </w:tabs>
        <w:rPr/>
      </w:pPr>
      <w:r>
        <w:rPr/>
      </w:r>
    </w:p>
    <w:p>
      <w:pPr>
        <w:pStyle w:val="Header"/>
        <w:numPr>
          <w:ilvl w:val="0"/>
          <w:numId w:val="2"/>
        </w:numPr>
        <w:tabs>
          <w:tab w:val="clear" w:pos="4320"/>
          <w:tab w:val="clear" w:pos="8640"/>
        </w:tabs>
        <w:rPr/>
      </w:pPr>
      <w:r>
        <w:rPr/>
        <w:t>If a limited Day is called and the LFT contract ends up scheduled (flowing), the shipper will be billed for the scheduled amount, but the counter will still count this as a Limited Day.</w:t>
      </w:r>
    </w:p>
    <w:p>
      <w:pPr>
        <w:pStyle w:val="Header"/>
        <w:tabs>
          <w:tab w:val="clear" w:pos="4320"/>
          <w:tab w:val="clear" w:pos="8640"/>
        </w:tabs>
        <w:rPr/>
      </w:pPr>
      <w:r>
        <w:rPr/>
      </w:r>
    </w:p>
    <w:p>
      <w:pPr>
        <w:pStyle w:val="Header"/>
        <w:tabs>
          <w:tab w:val="clear" w:pos="4320"/>
          <w:tab w:val="clear" w:pos="8640"/>
        </w:tabs>
        <w:rPr/>
      </w:pPr>
      <w:r>
        <w:rPr/>
      </w:r>
    </w:p>
    <w:p>
      <w:pPr>
        <w:pStyle w:val="Heading1"/>
        <w:rPr/>
      </w:pPr>
      <w:r>
        <w:rPr/>
        <w:t>Contacts</w:t>
      </w:r>
    </w:p>
    <w:p>
      <w:pPr>
        <w:pStyle w:val="Normal"/>
        <w:rPr/>
      </w:pPr>
      <w:r>
        <w:rPr/>
      </w:r>
    </w:p>
    <w:tbl>
      <w:tblPr>
        <w:tblW w:w="6840" w:type="dxa"/>
        <w:jc w:val="start"/>
        <w:tblInd w:w="1008" w:type="dxa"/>
        <w:tblLayout w:type="fixed"/>
        <w:tblCellMar>
          <w:top w:w="0" w:type="dxa"/>
          <w:start w:w="108" w:type="dxa"/>
          <w:bottom w:w="0" w:type="dxa"/>
          <w:end w:w="108" w:type="dxa"/>
        </w:tblCellMar>
      </w:tblPr>
      <w:tblGrid>
        <w:gridCol w:w="1890"/>
        <w:gridCol w:w="1890"/>
        <w:gridCol w:w="1530"/>
        <w:gridCol w:w="1530"/>
      </w:tblGrid>
      <w:tr>
        <w:trPr>
          <w:trHeight w:val="297" w:hRule="atLeast"/>
        </w:trPr>
        <w:tc>
          <w:tcPr>
            <w:tcW w:w="1890" w:type="dxa"/>
            <w:tcBorders/>
          </w:tcPr>
          <w:p>
            <w:pPr>
              <w:pStyle w:val="Normal"/>
              <w:tabs>
                <w:tab w:val="clear" w:pos="720"/>
                <w:tab w:val="left" w:pos="1080" w:leader="none"/>
              </w:tabs>
              <w:rPr>
                <w:rFonts w:ascii="Book Antiqua" w:hAnsi="Book Antiqua" w:cs="Book Antiqua"/>
                <w:u w:val="single"/>
              </w:rPr>
            </w:pPr>
            <w:r>
              <w:rPr>
                <w:rFonts w:cs="Book Antiqua" w:ascii="Book Antiqua" w:hAnsi="Book Antiqua"/>
                <w:u w:val="single"/>
              </w:rPr>
              <w:t>Department</w:t>
            </w:r>
          </w:p>
        </w:tc>
        <w:tc>
          <w:tcPr>
            <w:tcW w:w="1890" w:type="dxa"/>
            <w:tcBorders/>
          </w:tcPr>
          <w:p>
            <w:pPr>
              <w:pStyle w:val="Heading3"/>
              <w:ind w:hanging="0" w:start="0"/>
              <w:rPr>
                <w:sz w:val="20"/>
              </w:rPr>
            </w:pPr>
            <w:r>
              <w:rPr>
                <w:sz w:val="20"/>
              </w:rPr>
              <w:t>Name</w:t>
            </w:r>
          </w:p>
        </w:tc>
        <w:tc>
          <w:tcPr>
            <w:tcW w:w="1530" w:type="dxa"/>
            <w:tcBorders/>
          </w:tcPr>
          <w:p>
            <w:pPr>
              <w:pStyle w:val="Heading3"/>
              <w:ind w:hanging="0" w:start="0"/>
              <w:rPr>
                <w:sz w:val="20"/>
              </w:rPr>
            </w:pPr>
            <w:r>
              <w:rPr>
                <w:sz w:val="20"/>
              </w:rPr>
              <w:t>Pager</w:t>
            </w:r>
          </w:p>
        </w:tc>
        <w:tc>
          <w:tcPr>
            <w:tcW w:w="1530" w:type="dxa"/>
            <w:tcBorders/>
          </w:tcPr>
          <w:p>
            <w:pPr>
              <w:pStyle w:val="Normal"/>
              <w:tabs>
                <w:tab w:val="clear" w:pos="720"/>
                <w:tab w:val="left" w:pos="1080" w:leader="none"/>
              </w:tabs>
              <w:jc w:val="center"/>
              <w:rPr>
                <w:rFonts w:ascii="Book Antiqua" w:hAnsi="Book Antiqua" w:cs="Book Antiqua"/>
                <w:u w:val="single"/>
              </w:rPr>
            </w:pPr>
            <w:r>
              <w:rPr>
                <w:rFonts w:cs="Book Antiqua" w:ascii="Book Antiqua" w:hAnsi="Book Antiqua"/>
                <w:u w:val="single"/>
              </w:rPr>
              <w:t>Phone No.</w:t>
            </w:r>
          </w:p>
        </w:tc>
      </w:tr>
      <w:tr>
        <w:trPr>
          <w:trHeight w:val="225" w:hRule="atLeas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Marketing</w:t>
            </w:r>
          </w:p>
        </w:tc>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Joe Williams</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87-7707</w:t>
            </w:r>
          </w:p>
        </w:tc>
      </w:tr>
      <w:tr>
        <w:trPr>
          <w:trHeight w:val="280" w:hRule="atLeas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Contracts</w:t>
            </w:r>
          </w:p>
        </w:tc>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Linda Trevino</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713-853-5413</w:t>
            </w:r>
          </w:p>
        </w:tc>
      </w:tr>
      <w:tr>
        <w:trPr>
          <w:trHeight w:val="280" w:hRule="atLeast"/>
        </w:trPr>
        <w:tc>
          <w:tcPr>
            <w:tcW w:w="1890" w:type="dxa"/>
            <w:tcBorders/>
          </w:tcPr>
          <w:p>
            <w:pPr>
              <w:pStyle w:val="Heading2"/>
              <w:ind w:hanging="0" w:start="0"/>
              <w:jc w:val="start"/>
              <w:rPr>
                <w:b w:val="false"/>
                <w:sz w:val="20"/>
              </w:rPr>
            </w:pPr>
            <w:r>
              <w:rPr>
                <w:b w:val="false"/>
                <w:sz w:val="20"/>
              </w:rPr>
              <w:t>Contracts</w:t>
            </w:r>
          </w:p>
        </w:tc>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Karen Brostad</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713-853-7312</w:t>
            </w:r>
          </w:p>
        </w:tc>
      </w:tr>
      <w:tr>
        <w:trPr>
          <w:trHeight w:val="243" w:hRule="exac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Gas Control</w:t>
            </w:r>
          </w:p>
        </w:tc>
        <w:tc>
          <w:tcPr>
            <w:tcW w:w="1890" w:type="dxa"/>
            <w:tcBorders/>
          </w:tcPr>
          <w:p>
            <w:pPr>
              <w:pStyle w:val="Normal"/>
              <w:tabs>
                <w:tab w:val="clear" w:pos="720"/>
                <w:tab w:val="left" w:pos="1080" w:leader="none"/>
              </w:tabs>
              <w:jc w:val="both"/>
              <w:rPr>
                <w:rFonts w:ascii="Book Antiqua" w:hAnsi="Book Antiqua" w:cs="Book Antiqua"/>
              </w:rPr>
            </w:pPr>
            <w:r>
              <w:rPr>
                <w:rFonts w:cs="Book Antiqua" w:ascii="Book Antiqua" w:hAnsi="Book Antiqua"/>
              </w:rPr>
              <w:t>Steve January</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713-853-5659</w:t>
            </w:r>
          </w:p>
        </w:tc>
      </w:tr>
      <w:tr>
        <w:trPr>
          <w:trHeight w:val="280" w:hRule="atLeas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Gas Control</w:t>
            </w:r>
          </w:p>
        </w:tc>
        <w:tc>
          <w:tcPr>
            <w:tcW w:w="1890" w:type="dxa"/>
            <w:tcBorders/>
          </w:tcPr>
          <w:p>
            <w:pPr>
              <w:pStyle w:val="Normal"/>
              <w:tabs>
                <w:tab w:val="clear" w:pos="720"/>
                <w:tab w:val="left" w:pos="1080" w:leader="none"/>
              </w:tabs>
              <w:jc w:val="both"/>
              <w:rPr>
                <w:rFonts w:ascii="Book Antiqua" w:hAnsi="Book Antiqua" w:cs="Book Antiqua"/>
              </w:rPr>
            </w:pPr>
            <w:r>
              <w:rPr>
                <w:rFonts w:cs="Book Antiqua" w:ascii="Book Antiqua" w:hAnsi="Book Antiqua"/>
              </w:rPr>
              <w:t>Gary Spraggins</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713-853-5661</w:t>
            </w:r>
          </w:p>
        </w:tc>
      </w:tr>
      <w:tr>
        <w:trPr>
          <w:trHeight w:val="288" w:hRule="atLeas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Market Services</w:t>
            </w:r>
          </w:p>
        </w:tc>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Lynn Blair</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713-853-7637</w:t>
            </w:r>
          </w:p>
        </w:tc>
      </w:tr>
      <w:tr>
        <w:trPr>
          <w:trHeight w:val="315" w:hRule="exac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Market Services</w:t>
            </w:r>
          </w:p>
        </w:tc>
        <w:tc>
          <w:tcPr>
            <w:tcW w:w="1890" w:type="dxa"/>
            <w:tcBorders/>
          </w:tcPr>
          <w:p>
            <w:pPr>
              <w:pStyle w:val="Normal"/>
              <w:tabs>
                <w:tab w:val="clear" w:pos="720"/>
                <w:tab w:val="left" w:pos="1080" w:leader="none"/>
              </w:tabs>
              <w:jc w:val="both"/>
              <w:rPr>
                <w:rFonts w:ascii="Book Antiqua" w:hAnsi="Book Antiqua" w:cs="Book Antiqua"/>
              </w:rPr>
            </w:pPr>
            <w:r>
              <w:rPr>
                <w:rFonts w:cs="Book Antiqua" w:ascii="Book Antiqua" w:hAnsi="Book Antiqua"/>
              </w:rPr>
              <w:t>John Buchanan</w:t>
            </w:r>
          </w:p>
        </w:tc>
        <w:tc>
          <w:tcPr>
            <w:tcW w:w="1530" w:type="dxa"/>
            <w:tcBorders/>
          </w:tcPr>
          <w:p>
            <w:pPr>
              <w:pStyle w:val="Normal"/>
              <w:tabs>
                <w:tab w:val="clear" w:pos="720"/>
                <w:tab w:val="left" w:pos="1080" w:leader="none"/>
              </w:tabs>
              <w:snapToGrid w:val="false"/>
              <w:rPr>
                <w:rFonts w:ascii="Book Antiqua" w:hAnsi="Book Antiqua" w:cs="Book Antiqua"/>
              </w:rPr>
            </w:pPr>
            <w:r>
              <w:rPr>
                <w:rFonts w:cs="Book Antiqua" w:ascii="Book Antiqua" w:hAnsi="Book Antiqua"/>
              </w:rPr>
            </w:r>
          </w:p>
        </w:tc>
        <w:tc>
          <w:tcPr>
            <w:tcW w:w="1530" w:type="dxa"/>
            <w:tcBorders/>
          </w:tcPr>
          <w:p>
            <w:pPr>
              <w:pStyle w:val="Normal"/>
              <w:tabs>
                <w:tab w:val="clear" w:pos="720"/>
                <w:tab w:val="left" w:pos="1080" w:leader="none"/>
              </w:tabs>
              <w:jc w:val="center"/>
              <w:rPr>
                <w:rFonts w:ascii="Book Antiqua" w:hAnsi="Book Antiqua" w:cs="Book Antiqua"/>
              </w:rPr>
            </w:pPr>
            <w:r>
              <w:rPr>
                <w:rFonts w:cs="Book Antiqua" w:ascii="Book Antiqua" w:hAnsi="Book Antiqua"/>
              </w:rPr>
              <w:t>713-853-7429</w:t>
            </w:r>
          </w:p>
          <w:p>
            <w:pPr>
              <w:pStyle w:val="Normal"/>
              <w:tabs>
                <w:tab w:val="clear" w:pos="720"/>
                <w:tab w:val="left" w:pos="1080" w:leader="none"/>
              </w:tabs>
              <w:jc w:val="center"/>
              <w:rPr>
                <w:rFonts w:ascii="Book Antiqua" w:hAnsi="Book Antiqua" w:cs="Book Antiqua"/>
              </w:rPr>
            </w:pPr>
            <w:r>
              <w:rPr>
                <w:rFonts w:cs="Book Antiqua" w:ascii="Book Antiqua" w:hAnsi="Book Antiqua"/>
              </w:rPr>
            </w:r>
          </w:p>
          <w:p>
            <w:pPr>
              <w:pStyle w:val="Normal"/>
              <w:tabs>
                <w:tab w:val="clear" w:pos="720"/>
                <w:tab w:val="left" w:pos="1080" w:leader="none"/>
              </w:tabs>
              <w:jc w:val="center"/>
              <w:rPr>
                <w:rFonts w:ascii="Book Antiqua" w:hAnsi="Book Antiqua" w:cs="Book Antiqua"/>
              </w:rPr>
            </w:pPr>
            <w:r>
              <w:rPr>
                <w:rFonts w:cs="Book Antiqua" w:ascii="Book Antiqua" w:hAnsi="Book Antiqua"/>
              </w:rPr>
            </w:r>
          </w:p>
          <w:p>
            <w:pPr>
              <w:pStyle w:val="Normal"/>
              <w:tabs>
                <w:tab w:val="clear" w:pos="720"/>
                <w:tab w:val="left" w:pos="1080" w:leader="none"/>
              </w:tabs>
              <w:jc w:val="center"/>
              <w:rPr>
                <w:rFonts w:ascii="Book Antiqua" w:hAnsi="Book Antiqua" w:cs="Book Antiqua"/>
              </w:rPr>
            </w:pPr>
            <w:r>
              <w:rPr>
                <w:rFonts w:cs="Book Antiqua" w:ascii="Book Antiqua" w:hAnsi="Book Antiqua"/>
              </w:rPr>
            </w:r>
          </w:p>
        </w:tc>
      </w:tr>
      <w:tr>
        <w:trPr>
          <w:trHeight w:val="603" w:hRule="exact"/>
        </w:trPr>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Market Services</w:t>
            </w:r>
          </w:p>
          <w:p>
            <w:pPr>
              <w:pStyle w:val="Normal"/>
              <w:tabs>
                <w:tab w:val="clear" w:pos="720"/>
                <w:tab w:val="left" w:pos="1080" w:leader="none"/>
              </w:tabs>
              <w:rPr>
                <w:rFonts w:ascii="Book Antiqua" w:hAnsi="Book Antiqua" w:cs="Book Antiqua"/>
              </w:rPr>
            </w:pPr>
            <w:r>
              <w:rPr>
                <w:rFonts w:cs="Book Antiqua" w:ascii="Book Antiqua" w:hAnsi="Book Antiqua"/>
              </w:rPr>
              <w:t>Regulatory Affairs</w:t>
            </w:r>
          </w:p>
          <w:p>
            <w:pPr>
              <w:pStyle w:val="Normal"/>
              <w:tabs>
                <w:tab w:val="clear" w:pos="720"/>
                <w:tab w:val="left" w:pos="1080" w:leader="none"/>
              </w:tabs>
              <w:rPr>
                <w:rFonts w:ascii="Book Antiqua" w:hAnsi="Book Antiqua" w:cs="Book Antiqua"/>
              </w:rPr>
            </w:pPr>
            <w:r>
              <w:rPr>
                <w:rFonts w:cs="Book Antiqua" w:ascii="Book Antiqua" w:hAnsi="Book Antiqua"/>
              </w:rPr>
            </w:r>
          </w:p>
        </w:tc>
        <w:tc>
          <w:tcPr>
            <w:tcW w:w="1890" w:type="dxa"/>
            <w:tcBorders/>
          </w:tcPr>
          <w:p>
            <w:pPr>
              <w:pStyle w:val="Normal"/>
              <w:tabs>
                <w:tab w:val="clear" w:pos="720"/>
                <w:tab w:val="left" w:pos="1080" w:leader="none"/>
              </w:tabs>
              <w:rPr>
                <w:rFonts w:ascii="Book Antiqua" w:hAnsi="Book Antiqua" w:cs="Book Antiqua"/>
              </w:rPr>
            </w:pPr>
            <w:r>
              <w:rPr>
                <w:rFonts w:cs="Book Antiqua" w:ascii="Book Antiqua" w:hAnsi="Book Antiqua"/>
              </w:rPr>
              <w:t>Terry Kowalke</w:t>
            </w:r>
          </w:p>
          <w:p>
            <w:pPr>
              <w:pStyle w:val="Normal"/>
              <w:tabs>
                <w:tab w:val="clear" w:pos="720"/>
                <w:tab w:val="left" w:pos="1080" w:leader="none"/>
              </w:tabs>
              <w:rPr>
                <w:rFonts w:ascii="Book Antiqua" w:hAnsi="Book Antiqua" w:cs="Book Antiqua"/>
              </w:rPr>
            </w:pPr>
            <w:r>
              <w:rPr>
                <w:rFonts w:cs="Book Antiqua" w:ascii="Book Antiqua" w:hAnsi="Book Antiqua"/>
              </w:rPr>
              <w:t>Ranelle Paladino</w:t>
            </w:r>
          </w:p>
        </w:tc>
        <w:tc>
          <w:tcPr>
            <w:tcW w:w="1530" w:type="dxa"/>
            <w:tcBorders/>
          </w:tcPr>
          <w:p>
            <w:pPr>
              <w:pStyle w:val="Normal"/>
              <w:tabs>
                <w:tab w:val="clear" w:pos="720"/>
                <w:tab w:val="left" w:pos="1080" w:leader="none"/>
              </w:tabs>
              <w:rPr>
                <w:rFonts w:ascii="Book Antiqua" w:hAnsi="Book Antiqua" w:eastAsia="Book Antiqua" w:cs="Book Antiqua"/>
              </w:rPr>
            </w:pPr>
            <w:r>
              <w:rPr>
                <w:rFonts w:eastAsia="Book Antiqua" w:cs="Book Antiqua" w:ascii="Book Antiqua" w:hAnsi="Book Antiqua"/>
              </w:rPr>
              <w:t xml:space="preserve"> </w:t>
            </w:r>
          </w:p>
        </w:tc>
        <w:tc>
          <w:tcPr>
            <w:tcW w:w="1530" w:type="dxa"/>
            <w:tcBorders/>
          </w:tcPr>
          <w:p>
            <w:pPr>
              <w:pStyle w:val="Normal"/>
              <w:tabs>
                <w:tab w:val="clear" w:pos="720"/>
                <w:tab w:val="left" w:pos="1080" w:leader="none"/>
              </w:tabs>
              <w:rPr>
                <w:rFonts w:ascii="Book Antiqua" w:hAnsi="Book Antiqua" w:cs="Book Antiqua"/>
              </w:rPr>
            </w:pPr>
            <w:r>
              <w:rPr>
                <w:rFonts w:eastAsia="Book Antiqua" w:cs="Book Antiqua" w:ascii="Book Antiqua" w:hAnsi="Book Antiqua"/>
              </w:rPr>
              <w:t xml:space="preserve">  </w:t>
            </w:r>
            <w:r>
              <w:rPr>
                <w:rFonts w:cs="Book Antiqua" w:ascii="Book Antiqua" w:hAnsi="Book Antiqua"/>
              </w:rPr>
              <w:t>713-853-6403</w:t>
            </w:r>
          </w:p>
          <w:p>
            <w:pPr>
              <w:pStyle w:val="Normal"/>
              <w:tabs>
                <w:tab w:val="clear" w:pos="720"/>
                <w:tab w:val="left" w:pos="1080" w:leader="none"/>
              </w:tabs>
              <w:rPr>
                <w:rFonts w:ascii="Book Antiqua" w:hAnsi="Book Antiqua" w:cs="Book Antiqua"/>
              </w:rPr>
            </w:pPr>
            <w:r>
              <w:rPr>
                <w:rFonts w:eastAsia="Book Antiqua" w:cs="Book Antiqua" w:ascii="Book Antiqua" w:hAnsi="Book Antiqua"/>
              </w:rPr>
              <w:t xml:space="preserve">       </w:t>
            </w:r>
            <w:r>
              <w:rPr>
                <w:rFonts w:cs="Book Antiqua" w:ascii="Book Antiqua" w:hAnsi="Book Antiqua"/>
              </w:rPr>
              <w:t>87-7063</w:t>
            </w:r>
          </w:p>
          <w:p>
            <w:pPr>
              <w:pStyle w:val="Normal"/>
              <w:tabs>
                <w:tab w:val="clear" w:pos="720"/>
                <w:tab w:val="left" w:pos="1080" w:leader="none"/>
              </w:tabs>
              <w:rPr>
                <w:rFonts w:ascii="Book Antiqua" w:hAnsi="Book Antiqua" w:cs="Book Antiqua"/>
              </w:rPr>
            </w:pPr>
            <w:r>
              <w:rPr>
                <w:rFonts w:cs="Book Antiqua" w:ascii="Book Antiqua" w:hAnsi="Book Antiqua"/>
              </w:rPr>
            </w:r>
          </w:p>
          <w:p>
            <w:pPr>
              <w:pStyle w:val="Normal"/>
              <w:tabs>
                <w:tab w:val="clear" w:pos="720"/>
                <w:tab w:val="left" w:pos="1080" w:leader="none"/>
              </w:tabs>
              <w:rPr>
                <w:rFonts w:ascii="Book Antiqua" w:hAnsi="Book Antiqua" w:cs="Book Antiqua"/>
              </w:rPr>
            </w:pPr>
            <w:r>
              <w:rPr>
                <w:rFonts w:cs="Book Antiqua" w:ascii="Book Antiqua" w:hAnsi="Book Antiqua"/>
              </w:rPr>
            </w:r>
          </w:p>
        </w:tc>
      </w:tr>
    </w:tbl>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tabs>
          <w:tab w:val="clear" w:pos="720"/>
          <w:tab w:val="left" w:pos="1080" w:leader="none"/>
        </w:tabs>
        <w:rPr/>
      </w:pPr>
      <w:r>
        <w:rPr/>
      </w:r>
    </w:p>
    <w:p>
      <w:pPr>
        <w:sectPr>
          <w:headerReference w:type="default" r:id="rId2"/>
          <w:footerReference w:type="default" r:id="rId3"/>
          <w:type w:val="nextPage"/>
          <w:pgSz w:w="12240" w:h="15840"/>
          <w:pgMar w:left="1800" w:right="1800" w:gutter="0" w:header="1080" w:top="1136" w:footer="720" w:bottom="776"/>
          <w:pgNumType w:fmt="decimal"/>
          <w:formProt w:val="false"/>
          <w:textDirection w:val="lrTb"/>
          <w:docGrid w:type="default" w:linePitch="360" w:charSpace="0"/>
        </w:sectPr>
        <w:pStyle w:val="Normal"/>
        <w:tabs>
          <w:tab w:val="clear" w:pos="720"/>
          <w:tab w:val="left" w:pos="1080" w:leader="none"/>
        </w:tabs>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NNG Limited Firm Transportation Procedure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NNG Limited Firm Transportation Procedure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pBdr>
        <w:top w:val="single" w:sz="6" w:space="1" w:color="000000"/>
        <w:left w:val="single" w:sz="6" w:space="1" w:color="000000"/>
        <w:bottom w:val="single" w:sz="18" w:space="1" w:color="000000"/>
        <w:right w:val="single" w:sz="6" w:space="1" w:color="000000"/>
      </w:pBdr>
      <w:shd w:fill="E5E5E5" w:val="clear"/>
      <w:tabs>
        <w:tab w:val="clear" w:pos="720"/>
        <w:tab w:val="left" w:pos="0" w:leader="none"/>
      </w:tabs>
      <w:spacing w:before="0" w:after="120"/>
      <w:ind w:hanging="0" w:start="0" w:end="29"/>
      <w:jc w:val="center"/>
      <w:outlineLvl w:val="0"/>
    </w:pPr>
    <w:rPr>
      <w:rFonts w:ascii="Book Antiqua" w:hAnsi="Book Antiqua" w:cs="Book Antiqua"/>
      <w:b/>
      <w:sz w:val="24"/>
    </w:rPr>
  </w:style>
  <w:style w:type="paragraph" w:styleId="Heading2">
    <w:name w:val="heading 2"/>
    <w:basedOn w:val="Normal"/>
    <w:next w:val="Normal"/>
    <w:qFormat/>
    <w:pPr>
      <w:keepNext w:val="true"/>
      <w:numPr>
        <w:ilvl w:val="1"/>
        <w:numId w:val="1"/>
      </w:numPr>
      <w:tabs>
        <w:tab w:val="clear" w:pos="720"/>
        <w:tab w:val="left" w:pos="1080" w:leader="none"/>
      </w:tabs>
      <w:jc w:val="center"/>
      <w:outlineLvl w:val="1"/>
    </w:pPr>
    <w:rPr>
      <w:rFonts w:ascii="Book Antiqua" w:hAnsi="Book Antiqua" w:cs="Book Antiqua"/>
      <w:b/>
      <w:sz w:val="18"/>
    </w:rPr>
  </w:style>
  <w:style w:type="paragraph" w:styleId="Heading3">
    <w:name w:val="heading 3"/>
    <w:basedOn w:val="Normal"/>
    <w:next w:val="Normal"/>
    <w:qFormat/>
    <w:pPr>
      <w:keepNext w:val="true"/>
      <w:numPr>
        <w:ilvl w:val="2"/>
        <w:numId w:val="1"/>
      </w:numPr>
      <w:tabs>
        <w:tab w:val="clear" w:pos="720"/>
        <w:tab w:val="left" w:pos="1080" w:leader="none"/>
      </w:tabs>
      <w:outlineLvl w:val="2"/>
    </w:pPr>
    <w:rPr>
      <w:rFonts w:ascii="Book Antiqua" w:hAnsi="Book Antiqua" w:cs="Book Antiqua"/>
      <w:sz w:val="22"/>
      <w:u w:val="single"/>
    </w:rPr>
  </w:style>
  <w:style w:type="paragraph" w:styleId="Heading4">
    <w:name w:val="heading 4"/>
    <w:basedOn w:val="Normal"/>
    <w:next w:val="Normal"/>
    <w:qFormat/>
    <w:pPr>
      <w:keepNext w:val="true"/>
      <w:numPr>
        <w:ilvl w:val="3"/>
        <w:numId w:val="1"/>
      </w:numPr>
      <w:outlineLvl w:val="3"/>
    </w:pPr>
    <w:rPr>
      <w:rFonts w:ascii="Book Antiqua" w:hAnsi="Book Antiqua" w:cs="Book Antiqua"/>
      <w:b/>
      <w:sz w:val="24"/>
    </w:rPr>
  </w:style>
  <w:style w:type="paragraph" w:styleId="Heading9">
    <w:name w:val="heading 9"/>
    <w:basedOn w:val="Normal"/>
    <w:next w:val="Normal"/>
    <w:qFormat/>
    <w:pPr>
      <w:keepNext w:val="true"/>
      <w:numPr>
        <w:ilvl w:val="8"/>
        <w:numId w:val="1"/>
      </w:numPr>
      <w:ind w:firstLine="360" w:start="0" w:end="0"/>
      <w:outlineLvl w:val="8"/>
    </w:pPr>
    <w:rPr>
      <w:rFonts w:ascii="Book Antiqua" w:hAnsi="Book Antiqua" w:cs="Book Antiqua"/>
      <w:b/>
      <w:sz w:val="22"/>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Book Antiqua" w:hAnsi="Book Antiqua" w:cs="Book Antiqua"/>
      <w:sz w:val="22"/>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2001-04-17T13:42:00Z</dcterms:created>
  <dc:creator>penalh</dc:creator>
  <dc:description/>
  <dc:language>en-CA</dc:language>
  <cp:lastModifiedBy>ET&amp;S</cp:lastModifiedBy>
  <cp:lastPrinted>2001-05-24T15:32:00Z</cp:lastPrinted>
  <dcterms:modified xsi:type="dcterms:W3CDTF">2001-05-24T18:05:00Z</dcterms:modified>
  <cp:revision>18</cp:revision>
  <dc:subject/>
  <dc:title>Description</dc:title>
</cp:coreProperties>
</file>