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1075"/>
        <w:gridCol w:w="2880"/>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rFonts w:ascii="Courier New" w:hAnsi="Courier New" w:cs="Courier New"/>
              </w:rPr>
            </w:pPr>
            <w:bookmarkStart w:id="0" w:name="to"/>
            <w:bookmarkEnd w:id="0"/>
            <w:r>
              <w:rPr>
                <w:rFonts w:cs="Courier New" w:ascii="Courier New" w:hAnsi="Courier New"/>
              </w:rPr>
              <w:t>NNG Marketing</w:t>
            </w:r>
          </w:p>
        </w:tc>
        <w:tc>
          <w:tcPr>
            <w:tcW w:w="1075" w:type="dxa"/>
            <w:tcBorders/>
          </w:tcPr>
          <w:p>
            <w:pPr>
              <w:pStyle w:val="Normal"/>
              <w:snapToGrid w:val="false"/>
              <w:ind w:start="-180" w:end="0"/>
              <w:rPr/>
            </w:pPr>
            <w:r>
              <w:rPr/>
            </w:r>
          </w:p>
        </w:tc>
        <w:tc>
          <w:tcPr>
            <w:tcW w:w="2880"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1075" w:type="dxa"/>
            <w:tcBorders/>
          </w:tcPr>
          <w:p>
            <w:pPr>
              <w:pStyle w:val="Normal"/>
              <w:snapToGrid w:val="false"/>
              <w:ind w:start="-180" w:end="0"/>
              <w:rPr>
                <w:sz w:val="18"/>
              </w:rPr>
            </w:pPr>
            <w:r>
              <w:rPr>
                <w:sz w:val="18"/>
              </w:rPr>
            </w:r>
          </w:p>
        </w:tc>
        <w:tc>
          <w:tcPr>
            <w:tcW w:w="2880"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rFonts w:ascii="Courier New" w:hAnsi="Courier New" w:cs="Courier New"/>
              </w:rPr>
            </w:pPr>
            <w:r>
              <w:rPr>
                <w:rFonts w:cs="Courier New" w:ascii="Courier New" w:hAnsi="Courier New"/>
              </w:rPr>
              <w:t>Rita Bianchi</w:t>
            </w:r>
          </w:p>
        </w:tc>
        <w:tc>
          <w:tcPr>
            <w:tcW w:w="1075" w:type="dxa"/>
            <w:tcBorders/>
          </w:tcPr>
          <w:p>
            <w:pPr>
              <w:pStyle w:val="Normal"/>
              <w:ind w:start="-180" w:end="0"/>
              <w:jc w:val="end"/>
              <w:rPr>
                <w:sz w:val="16"/>
              </w:rPr>
            </w:pPr>
            <w:r>
              <w:rPr>
                <w:sz w:val="16"/>
              </w:rPr>
              <w:t>Department:</w:t>
            </w:r>
          </w:p>
        </w:tc>
        <w:tc>
          <w:tcPr>
            <w:tcW w:w="2880" w:type="dxa"/>
            <w:tcBorders/>
          </w:tcPr>
          <w:p>
            <w:pPr>
              <w:pStyle w:val="Department"/>
              <w:rPr>
                <w:rFonts w:ascii="Courier New" w:hAnsi="Courier New" w:cs="Courier New"/>
              </w:rPr>
            </w:pPr>
            <w:bookmarkStart w:id="1" w:name="From"/>
            <w:bookmarkEnd w:id="1"/>
            <w:r>
              <w:rPr>
                <w:rFonts w:cs="Courier New" w:ascii="Courier New" w:hAnsi="Courier New"/>
              </w:rPr>
              <w:t>Rates &amp; Certificates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1075" w:type="dxa"/>
            <w:tcBorders/>
          </w:tcPr>
          <w:p>
            <w:pPr>
              <w:pStyle w:val="Normal"/>
              <w:snapToGrid w:val="false"/>
              <w:ind w:start="-180" w:end="0"/>
              <w:rPr>
                <w:sz w:val="18"/>
              </w:rPr>
            </w:pPr>
            <w:r>
              <w:rPr>
                <w:sz w:val="18"/>
              </w:rPr>
            </w:r>
          </w:p>
        </w:tc>
        <w:tc>
          <w:tcPr>
            <w:tcW w:w="2880"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rFonts w:ascii="Courier New" w:hAnsi="Courier New" w:cs="Courier New"/>
              </w:rPr>
            </w:pPr>
            <w:bookmarkStart w:id="2" w:name="Subject"/>
            <w:bookmarkEnd w:id="2"/>
            <w:r>
              <w:rPr>
                <w:rFonts w:cs="Courier New" w:ascii="Courier New" w:hAnsi="Courier New"/>
              </w:rPr>
              <w:t>2002 GRI High/Low load factors</w:t>
            </w:r>
          </w:p>
        </w:tc>
        <w:tc>
          <w:tcPr>
            <w:tcW w:w="1075" w:type="dxa"/>
            <w:tcBorders>
              <w:bottom w:val="single" w:sz="18" w:space="0" w:color="000000"/>
            </w:tcBorders>
          </w:tcPr>
          <w:p>
            <w:pPr>
              <w:pStyle w:val="Normal"/>
              <w:ind w:start="-180" w:end="0"/>
              <w:jc w:val="end"/>
              <w:rPr>
                <w:sz w:val="16"/>
              </w:rPr>
            </w:pPr>
            <w:r>
              <w:rPr>
                <w:sz w:val="16"/>
              </w:rPr>
              <w:t>Date:</w:t>
            </w:r>
          </w:p>
        </w:tc>
        <w:tc>
          <w:tcPr>
            <w:tcW w:w="2880" w:type="dxa"/>
            <w:tcBorders>
              <w:bottom w:val="single" w:sz="18" w:space="0" w:color="000000"/>
            </w:tcBorders>
          </w:tcPr>
          <w:p>
            <w:pPr>
              <w:pStyle w:val="Date"/>
              <w:rPr>
                <w:rFonts w:ascii="Courier New" w:hAnsi="Courier New" w:cs="Courier New"/>
              </w:rPr>
            </w:pPr>
            <w:r>
              <w:rPr>
                <w:rFonts w:cs="Courier New" w:ascii="Courier New" w:hAnsi="Courier New"/>
              </w:rPr>
              <w:t>November 26, 2002</w:t>
            </w:r>
          </w:p>
        </w:tc>
      </w:tr>
    </w:tbl>
    <w:p>
      <w:pPr>
        <w:pStyle w:val="Body"/>
        <w:rPr>
          <w:rFonts w:ascii="Courier New" w:hAnsi="Courier New" w:cs="Courier New"/>
        </w:rPr>
      </w:pPr>
      <w:r>
        <w:rPr>
          <w:rFonts w:cs="Courier New" w:ascii="Courier New" w:hAnsi="Courier New"/>
        </w:rPr>
      </w:r>
    </w:p>
    <w:p>
      <w:pPr>
        <w:pStyle w:val="Body"/>
        <w:rPr>
          <w:rFonts w:ascii="Courier New" w:hAnsi="Courier New" w:cs="Courier New"/>
        </w:rPr>
      </w:pPr>
      <w:r>
        <w:rPr>
          <w:rFonts w:cs="Courier New" w:ascii="Courier New" w:hAnsi="Courier New"/>
        </w:rPr>
      </w:r>
      <w:bookmarkStart w:id="3" w:name="StartOfMemo"/>
      <w:bookmarkStart w:id="4" w:name="StartOfMemo"/>
      <w:bookmarkEnd w:id="4"/>
    </w:p>
    <w:p>
      <w:pPr>
        <w:pStyle w:val="Department"/>
        <w:rPr>
          <w:rFonts w:ascii="Courier New" w:hAnsi="Courier New" w:cs="Courier New"/>
        </w:rPr>
      </w:pPr>
      <w:r>
        <w:rPr>
          <w:rFonts w:cs="Courier New" w:ascii="Courier New" w:hAnsi="Courier New"/>
        </w:rPr>
        <w:t>I have recalculated the GRI Load Factors to determine which customers qualify for the Low Load GRI Reservation exception rate in 2002.  Changes are noted below. Please inform your affected customers.  Northern does not file GRI Load Factors with the Commission.</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 xml:space="preserve">Calculations compare annualized entitlement at GRI points (MDQ times days in month) with GRI commodity volumes on all firm contracts for a Legal Entity for production months </w:t>
      </w:r>
    </w:p>
    <w:p>
      <w:pPr>
        <w:pStyle w:val="Department"/>
        <w:rPr>
          <w:rFonts w:ascii="Courier New" w:hAnsi="Courier New" w:cs="Courier New"/>
        </w:rPr>
      </w:pPr>
      <w:r>
        <w:rPr>
          <w:rFonts w:cs="Courier New" w:ascii="Courier New" w:hAnsi="Courier New"/>
        </w:rPr>
        <w:t>11/2000 - 10/2001.  Volume that flowed under released capacity is counted with the Releasing Shipper’s commodity volume as required by FERC.  The process does not calculate a GRI Load Factor for shippers that use only acquired capacity.</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The load factor calculation looks at entitlement or commodity that qualified for a GRI charge, regardless of whether or not the charge was discounted.  Customers can have a Load Factor exceeding 1.0 (100%) if they have capacity at non-GRI Primary Points (Demarc, Pools, Interconnects) but substantial deliveries to Alternate points where GRI applies.</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Since the process only considers GRI-applicable entitlement and flow, the GRI Load Factor is not the customer’s actual overall Load Factor for the year.</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The GRI rates changed, effective January 1, 2002.  NNG made a tariff filing to incorporate the new rates.</w:t>
      </w:r>
    </w:p>
    <w:p>
      <w:pPr>
        <w:pStyle w:val="Department"/>
        <w:rPr>
          <w:rFonts w:ascii="Courier New" w:hAnsi="Courier New" w:cs="Courier New"/>
        </w:rPr>
      </w:pPr>
      <w:r>
        <w:rPr>
          <w:rFonts w:cs="Courier New" w:ascii="Courier New" w:hAnsi="Courier New"/>
        </w:rPr>
        <w:t>$.0660 high load (default) GRI Reservation monthly rate</w:t>
      </w:r>
    </w:p>
    <w:p>
      <w:pPr>
        <w:pStyle w:val="Department"/>
        <w:rPr>
          <w:rFonts w:ascii="Courier New" w:hAnsi="Courier New" w:cs="Courier New"/>
        </w:rPr>
      </w:pPr>
      <w:r>
        <w:rPr>
          <w:rFonts w:cs="Courier New" w:ascii="Courier New" w:hAnsi="Courier New"/>
        </w:rPr>
        <w:t>$.0407 low load GRI Reservation monthly rate.</w:t>
      </w:r>
    </w:p>
    <w:p>
      <w:pPr>
        <w:pStyle w:val="Department"/>
        <w:rPr>
          <w:rFonts w:ascii="Courier New" w:hAnsi="Courier New" w:cs="Courier New"/>
        </w:rPr>
      </w:pPr>
      <w:r>
        <w:rPr>
          <w:rFonts w:cs="Courier New" w:ascii="Courier New" w:hAnsi="Courier New"/>
        </w:rPr>
        <w:t>$.0055 Commodity GRI surcharge per mmbtu.</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A list of GRI Load factors by customer is attached.  “Low Load” Legal Entities will have a Tariff Exception in TRS setting the GRI Reservation (GRR) rate to $.0407/month rather than the default high load rate for 2002.  The Exception affects all current and future firm contracts tied to the Legal Entity.  Customers with no GRI Primary Points in the past year are not in the report.  They will pay the default high load rate if they add GRI capacity during the year.</w:t>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t>Cc:</w:t>
        <w:tab/>
        <w:t>Mary Darveaux</w:t>
        <w:br/>
        <w:tab/>
        <w:t>Michele Winckowski</w:t>
        <w:br/>
        <w:tab/>
        <w:t>Steve Kirk</w:t>
      </w:r>
    </w:p>
    <w:p>
      <w:pPr>
        <w:pStyle w:val="Department"/>
        <w:rPr>
          <w:rFonts w:ascii="Courier New" w:hAnsi="Courier New" w:cs="Courier New"/>
        </w:rPr>
      </w:pPr>
      <w:r>
        <w:rPr>
          <w:rFonts w:cs="Courier New" w:ascii="Courier New" w:hAnsi="Courier New"/>
        </w:rPr>
        <w:tab/>
        <w:t>John Fiscus</w:t>
      </w:r>
    </w:p>
    <w:p>
      <w:pPr>
        <w:pStyle w:val="Department"/>
        <w:rPr>
          <w:rFonts w:ascii="Courier New" w:hAnsi="Courier New" w:cs="Courier New"/>
        </w:rPr>
      </w:pPr>
      <w:r>
        <w:rPr>
          <w:rFonts w:eastAsia="Courier New" w:cs="Courier New" w:ascii="Courier New" w:hAnsi="Courier New"/>
        </w:rPr>
        <w:t xml:space="preserve">      </w:t>
      </w:r>
      <w:r>
        <w:rPr>
          <w:rFonts w:cs="Courier New" w:ascii="Courier New" w:hAnsi="Courier New"/>
        </w:rPr>
        <w:t>John Williams</w:t>
      </w:r>
    </w:p>
    <w:p>
      <w:pPr>
        <w:pStyle w:val="Department"/>
        <w:rPr>
          <w:rFonts w:ascii="Courier New" w:hAnsi="Courier New" w:cs="Courier New"/>
        </w:rPr>
      </w:pPr>
      <w:r>
        <w:rPr>
          <w:rFonts w:cs="Courier New" w:ascii="Courier New" w:hAnsi="Courier New"/>
        </w:rPr>
        <w:tab/>
        <w:t>Raetta Zadow</w:t>
      </w:r>
      <w:r>
        <w:br w:type="page"/>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b/>
        </w:rPr>
      </w:pPr>
      <w:r>
        <w:rPr>
          <w:rFonts w:cs="Courier New" w:ascii="Courier New" w:hAnsi="Courier New"/>
          <w:b/>
        </w:rPr>
        <w:t>Effective 1/1/2002, the following shippers move from High Load to Low Load.  The Reservation GRI rate on firm contracts for these shippers will decrease.</w:t>
      </w:r>
    </w:p>
    <w:p>
      <w:pPr>
        <w:pStyle w:val="Department"/>
        <w:rPr>
          <w:rFonts w:ascii="Courier New" w:hAnsi="Courier New" w:cs="Courier New"/>
          <w:b/>
        </w:rPr>
      </w:pPr>
      <w:r>
        <w:rPr>
          <w:rFonts w:cs="Courier New" w:ascii="Courier New" w:hAnsi="Courier New"/>
          <w:b/>
        </w:rPr>
      </w:r>
    </w:p>
    <w:p>
      <w:pPr>
        <w:pStyle w:val="Department"/>
        <w:rPr>
          <w:rFonts w:ascii="Courier New" w:hAnsi="Courier New" w:cs="Courier New"/>
        </w:rPr>
      </w:pPr>
      <w:r>
        <w:rPr>
          <w:rFonts w:cs="Courier New" w:ascii="Courier New" w:hAnsi="Courier New"/>
        </w:rPr>
        <w:t>Some of these shippers may revert to High Load next year, particularly if the heating season continues colder than last year.</w:t>
      </w:r>
    </w:p>
    <w:p>
      <w:pPr>
        <w:pStyle w:val="Department"/>
        <w:rPr>
          <w:rFonts w:ascii="Courier New" w:hAnsi="Courier New" w:cs="Courier New"/>
        </w:rPr>
      </w:pPr>
      <w:r>
        <w:rPr>
          <w:rFonts w:cs="Courier New" w:ascii="Courier New" w:hAnsi="Courier New"/>
        </w:rPr>
      </w:r>
    </w:p>
    <w:tbl>
      <w:tblPr>
        <w:tblW w:w="7398" w:type="dxa"/>
        <w:jc w:val="start"/>
        <w:tblInd w:w="0" w:type="dxa"/>
        <w:tblLayout w:type="fixed"/>
        <w:tblCellMar>
          <w:top w:w="0" w:type="dxa"/>
          <w:start w:w="108" w:type="dxa"/>
          <w:bottom w:w="0" w:type="dxa"/>
          <w:end w:w="108" w:type="dxa"/>
        </w:tblCellMar>
      </w:tblPr>
      <w:tblGrid>
        <w:gridCol w:w="1278"/>
        <w:gridCol w:w="6120"/>
      </w:tblGrid>
      <w:tr>
        <w:trPr/>
        <w:tc>
          <w:tcPr>
            <w:tcW w:w="1278" w:type="dxa"/>
            <w:tcBorders/>
          </w:tcPr>
          <w:p>
            <w:pPr>
              <w:pStyle w:val="Department"/>
              <w:rPr>
                <w:rFonts w:ascii="Courier New" w:hAnsi="Courier New" w:cs="Courier New"/>
                <w:i/>
                <w:i/>
              </w:rPr>
            </w:pPr>
            <w:r>
              <w:rPr>
                <w:rFonts w:cs="Courier New" w:ascii="Courier New" w:hAnsi="Courier New"/>
                <w:i/>
              </w:rPr>
              <w:t>Legal Entity</w:t>
            </w:r>
          </w:p>
        </w:tc>
        <w:tc>
          <w:tcPr>
            <w:tcW w:w="6120" w:type="dxa"/>
            <w:tcBorders/>
          </w:tcPr>
          <w:p>
            <w:pPr>
              <w:pStyle w:val="Department"/>
              <w:rPr>
                <w:rFonts w:ascii="Courier New" w:hAnsi="Courier New" w:cs="Courier New"/>
                <w:i/>
                <w:i/>
              </w:rPr>
            </w:pPr>
            <w:r>
              <w:rPr>
                <w:rFonts w:cs="Courier New" w:ascii="Courier New" w:hAnsi="Courier New"/>
                <w:i/>
              </w:rPr>
              <w:t>Shipper</w:t>
            </w:r>
          </w:p>
        </w:tc>
      </w:tr>
      <w:tr>
        <w:trPr/>
        <w:tc>
          <w:tcPr>
            <w:tcW w:w="1278" w:type="dxa"/>
            <w:tcBorders/>
          </w:tcPr>
          <w:p>
            <w:pPr>
              <w:pStyle w:val="Department"/>
              <w:rPr>
                <w:rFonts w:ascii="Courier New" w:hAnsi="Courier New" w:cs="Courier New"/>
              </w:rPr>
            </w:pPr>
            <w:r>
              <w:rPr>
                <w:rFonts w:cs="Courier New" w:ascii="Courier New" w:hAnsi="Courier New"/>
              </w:rPr>
              <w:t>529</w:t>
            </w:r>
          </w:p>
        </w:tc>
        <w:tc>
          <w:tcPr>
            <w:tcW w:w="6120" w:type="dxa"/>
            <w:tcBorders/>
          </w:tcPr>
          <w:p>
            <w:pPr>
              <w:pStyle w:val="Department"/>
              <w:rPr>
                <w:rFonts w:ascii="Courier New" w:hAnsi="Courier New" w:cs="Courier New"/>
              </w:rPr>
            </w:pPr>
            <w:r>
              <w:rPr>
                <w:rFonts w:cs="Courier New" w:ascii="Courier New" w:hAnsi="Courier New"/>
              </w:rPr>
              <w:t>Coon Rapids Municipal Utilities</w:t>
            </w:r>
          </w:p>
        </w:tc>
      </w:tr>
      <w:tr>
        <w:trPr/>
        <w:tc>
          <w:tcPr>
            <w:tcW w:w="1278" w:type="dxa"/>
            <w:tcBorders/>
          </w:tcPr>
          <w:p>
            <w:pPr>
              <w:pStyle w:val="Department"/>
              <w:rPr>
                <w:rFonts w:ascii="Courier New" w:hAnsi="Courier New" w:cs="Courier New"/>
              </w:rPr>
            </w:pPr>
            <w:r>
              <w:rPr>
                <w:rFonts w:cs="Courier New" w:ascii="Courier New" w:hAnsi="Courier New"/>
              </w:rPr>
              <w:t>11388</w:t>
            </w:r>
          </w:p>
        </w:tc>
        <w:tc>
          <w:tcPr>
            <w:tcW w:w="6120" w:type="dxa"/>
            <w:tcBorders/>
          </w:tcPr>
          <w:p>
            <w:pPr>
              <w:pStyle w:val="Department"/>
              <w:rPr>
                <w:rFonts w:ascii="Courier New" w:hAnsi="Courier New" w:cs="Courier New"/>
              </w:rPr>
            </w:pPr>
            <w:r>
              <w:rPr>
                <w:rFonts w:cs="Courier New" w:ascii="Courier New" w:hAnsi="Courier New"/>
              </w:rPr>
              <w:t>Heartland Corn Products</w:t>
            </w:r>
          </w:p>
        </w:tc>
      </w:tr>
      <w:tr>
        <w:trPr/>
        <w:tc>
          <w:tcPr>
            <w:tcW w:w="1278" w:type="dxa"/>
            <w:tcBorders/>
          </w:tcPr>
          <w:p>
            <w:pPr>
              <w:pStyle w:val="Department"/>
              <w:rPr>
                <w:rFonts w:ascii="Courier New" w:hAnsi="Courier New" w:cs="Courier New"/>
              </w:rPr>
            </w:pPr>
            <w:r>
              <w:rPr>
                <w:rFonts w:cs="Courier New" w:ascii="Courier New" w:hAnsi="Courier New"/>
              </w:rPr>
              <w:t>339</w:t>
            </w:r>
          </w:p>
        </w:tc>
        <w:tc>
          <w:tcPr>
            <w:tcW w:w="6120" w:type="dxa"/>
            <w:tcBorders/>
          </w:tcPr>
          <w:p>
            <w:pPr>
              <w:pStyle w:val="Department"/>
              <w:rPr>
                <w:rFonts w:ascii="Courier New" w:hAnsi="Courier New" w:cs="Courier New"/>
              </w:rPr>
            </w:pPr>
            <w:r>
              <w:rPr>
                <w:rFonts w:cs="Courier New" w:ascii="Courier New" w:hAnsi="Courier New"/>
              </w:rPr>
              <w:t>Hutchinson Utility Commission</w:t>
            </w:r>
          </w:p>
        </w:tc>
      </w:tr>
      <w:tr>
        <w:trPr/>
        <w:tc>
          <w:tcPr>
            <w:tcW w:w="1278" w:type="dxa"/>
            <w:tcBorders/>
          </w:tcPr>
          <w:p>
            <w:pPr>
              <w:pStyle w:val="Department"/>
              <w:rPr>
                <w:rFonts w:ascii="Courier New" w:hAnsi="Courier New" w:cs="Courier New"/>
              </w:rPr>
            </w:pPr>
            <w:r>
              <w:rPr>
                <w:rFonts w:cs="Courier New" w:ascii="Courier New" w:hAnsi="Courier New"/>
              </w:rPr>
              <w:t>342</w:t>
            </w:r>
          </w:p>
        </w:tc>
        <w:tc>
          <w:tcPr>
            <w:tcW w:w="6120" w:type="dxa"/>
            <w:tcBorders/>
          </w:tcPr>
          <w:p>
            <w:pPr>
              <w:pStyle w:val="Department"/>
              <w:rPr>
                <w:rFonts w:ascii="Courier New" w:hAnsi="Courier New" w:cs="Courier New"/>
              </w:rPr>
            </w:pPr>
            <w:r>
              <w:rPr>
                <w:rFonts w:cs="Courier New" w:ascii="Courier New" w:hAnsi="Courier New"/>
              </w:rPr>
              <w:t>Interstate Power Company</w:t>
            </w:r>
          </w:p>
        </w:tc>
      </w:tr>
      <w:tr>
        <w:trPr/>
        <w:tc>
          <w:tcPr>
            <w:tcW w:w="1278" w:type="dxa"/>
            <w:tcBorders/>
          </w:tcPr>
          <w:p>
            <w:pPr>
              <w:pStyle w:val="Department"/>
              <w:rPr>
                <w:rFonts w:ascii="Courier New" w:hAnsi="Courier New" w:cs="Courier New"/>
              </w:rPr>
            </w:pPr>
            <w:r>
              <w:rPr>
                <w:rFonts w:cs="Courier New" w:ascii="Courier New" w:hAnsi="Courier New"/>
              </w:rPr>
              <w:t>42</w:t>
            </w:r>
          </w:p>
        </w:tc>
        <w:tc>
          <w:tcPr>
            <w:tcW w:w="6120" w:type="dxa"/>
            <w:tcBorders/>
          </w:tcPr>
          <w:p>
            <w:pPr>
              <w:pStyle w:val="Department"/>
              <w:rPr>
                <w:rFonts w:ascii="Courier New" w:hAnsi="Courier New" w:cs="Courier New"/>
              </w:rPr>
            </w:pPr>
            <w:r>
              <w:rPr>
                <w:rFonts w:cs="Courier New" w:ascii="Courier New" w:hAnsi="Courier New"/>
              </w:rPr>
              <w:t>Koch Midstream Services</w:t>
            </w:r>
          </w:p>
        </w:tc>
      </w:tr>
      <w:tr>
        <w:trPr/>
        <w:tc>
          <w:tcPr>
            <w:tcW w:w="1278" w:type="dxa"/>
            <w:tcBorders/>
          </w:tcPr>
          <w:p>
            <w:pPr>
              <w:pStyle w:val="Department"/>
              <w:rPr>
                <w:rFonts w:ascii="Courier New" w:hAnsi="Courier New" w:cs="Courier New"/>
              </w:rPr>
            </w:pPr>
            <w:r>
              <w:rPr>
                <w:rFonts w:cs="Courier New" w:ascii="Courier New" w:hAnsi="Courier New"/>
              </w:rPr>
              <w:t>11370</w:t>
            </w:r>
          </w:p>
        </w:tc>
        <w:tc>
          <w:tcPr>
            <w:tcW w:w="6120" w:type="dxa"/>
            <w:tcBorders/>
          </w:tcPr>
          <w:p>
            <w:pPr>
              <w:pStyle w:val="Department"/>
              <w:rPr>
                <w:rFonts w:ascii="Courier New" w:hAnsi="Courier New" w:cs="Courier New"/>
              </w:rPr>
            </w:pPr>
            <w:r>
              <w:rPr>
                <w:rFonts w:cs="Courier New" w:ascii="Courier New" w:hAnsi="Courier New"/>
              </w:rPr>
              <w:t>L S Power – Whitewater LP</w:t>
            </w:r>
          </w:p>
        </w:tc>
      </w:tr>
      <w:tr>
        <w:trPr/>
        <w:tc>
          <w:tcPr>
            <w:tcW w:w="1278" w:type="dxa"/>
            <w:tcBorders/>
          </w:tcPr>
          <w:p>
            <w:pPr>
              <w:pStyle w:val="Department"/>
              <w:rPr>
                <w:rFonts w:ascii="Courier New" w:hAnsi="Courier New" w:cs="Courier New"/>
              </w:rPr>
            </w:pPr>
            <w:r>
              <w:rPr>
                <w:rFonts w:cs="Courier New" w:ascii="Courier New" w:hAnsi="Courier New"/>
              </w:rPr>
              <w:t>346</w:t>
            </w:r>
          </w:p>
        </w:tc>
        <w:tc>
          <w:tcPr>
            <w:tcW w:w="6120" w:type="dxa"/>
            <w:tcBorders/>
          </w:tcPr>
          <w:p>
            <w:pPr>
              <w:pStyle w:val="Department"/>
              <w:rPr>
                <w:rFonts w:ascii="Courier New" w:hAnsi="Courier New" w:cs="Courier New"/>
              </w:rPr>
            </w:pPr>
            <w:r>
              <w:rPr>
                <w:rFonts w:cs="Courier New" w:ascii="Courier New" w:hAnsi="Courier New"/>
              </w:rPr>
              <w:t>Midwest Natural Gas, Inc.</w:t>
            </w:r>
          </w:p>
        </w:tc>
      </w:tr>
      <w:tr>
        <w:trPr/>
        <w:tc>
          <w:tcPr>
            <w:tcW w:w="1278" w:type="dxa"/>
            <w:tcBorders/>
          </w:tcPr>
          <w:p>
            <w:pPr>
              <w:pStyle w:val="Department"/>
              <w:rPr>
                <w:rFonts w:ascii="Courier New" w:hAnsi="Courier New" w:cs="Courier New"/>
              </w:rPr>
            </w:pPr>
            <w:r>
              <w:rPr>
                <w:rFonts w:cs="Courier New" w:ascii="Courier New" w:hAnsi="Courier New"/>
              </w:rPr>
              <w:t>9616</w:t>
            </w:r>
          </w:p>
        </w:tc>
        <w:tc>
          <w:tcPr>
            <w:tcW w:w="6120" w:type="dxa"/>
            <w:tcBorders/>
          </w:tcPr>
          <w:p>
            <w:pPr>
              <w:pStyle w:val="Department"/>
              <w:rPr>
                <w:rFonts w:ascii="Courier New" w:hAnsi="Courier New" w:cs="Courier New"/>
              </w:rPr>
            </w:pPr>
            <w:r>
              <w:rPr>
                <w:rFonts w:cs="Courier New" w:ascii="Courier New" w:hAnsi="Courier New"/>
              </w:rPr>
              <w:t>Mountain Energy Corporation</w:t>
            </w:r>
          </w:p>
        </w:tc>
      </w:tr>
      <w:tr>
        <w:trPr/>
        <w:tc>
          <w:tcPr>
            <w:tcW w:w="1278" w:type="dxa"/>
            <w:tcBorders/>
          </w:tcPr>
          <w:p>
            <w:pPr>
              <w:pStyle w:val="Department"/>
              <w:rPr>
                <w:rFonts w:ascii="Courier New" w:hAnsi="Courier New" w:cs="Courier New"/>
              </w:rPr>
            </w:pPr>
            <w:r>
              <w:rPr>
                <w:rFonts w:cs="Courier New" w:ascii="Courier New" w:hAnsi="Courier New"/>
              </w:rPr>
              <w:t>627</w:t>
            </w:r>
          </w:p>
        </w:tc>
        <w:tc>
          <w:tcPr>
            <w:tcW w:w="6120" w:type="dxa"/>
            <w:tcBorders/>
          </w:tcPr>
          <w:p>
            <w:pPr>
              <w:pStyle w:val="Department"/>
              <w:rPr>
                <w:rFonts w:ascii="Courier New" w:hAnsi="Courier New" w:cs="Courier New"/>
              </w:rPr>
            </w:pPr>
            <w:r>
              <w:rPr>
                <w:rFonts w:cs="Courier New" w:ascii="Courier New" w:hAnsi="Courier New"/>
              </w:rPr>
              <w:t>Transcanada Gas Services, Inc.</w:t>
            </w:r>
          </w:p>
        </w:tc>
      </w:tr>
      <w:tr>
        <w:trPr/>
        <w:tc>
          <w:tcPr>
            <w:tcW w:w="1278" w:type="dxa"/>
            <w:tcBorders/>
          </w:tcPr>
          <w:p>
            <w:pPr>
              <w:pStyle w:val="Department"/>
              <w:rPr>
                <w:rFonts w:ascii="Courier New" w:hAnsi="Courier New" w:cs="Courier New"/>
              </w:rPr>
            </w:pPr>
            <w:r>
              <w:rPr>
                <w:rFonts w:cs="Courier New" w:ascii="Courier New" w:hAnsi="Courier New"/>
              </w:rPr>
              <w:t>3997</w:t>
            </w:r>
          </w:p>
        </w:tc>
        <w:tc>
          <w:tcPr>
            <w:tcW w:w="6120" w:type="dxa"/>
            <w:tcBorders/>
          </w:tcPr>
          <w:p>
            <w:pPr>
              <w:pStyle w:val="Department"/>
              <w:rPr>
                <w:rFonts w:ascii="Courier New" w:hAnsi="Courier New" w:cs="Courier New"/>
              </w:rPr>
            </w:pPr>
            <w:r>
              <w:rPr>
                <w:rFonts w:cs="Courier New" w:ascii="Courier New" w:hAnsi="Courier New"/>
              </w:rPr>
              <w:t>West Texas Utilities Company</w:t>
            </w:r>
          </w:p>
        </w:tc>
      </w:tr>
    </w:tbl>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rPr>
      </w:pPr>
      <w:r>
        <w:rPr>
          <w:rFonts w:cs="Courier New" w:ascii="Courier New" w:hAnsi="Courier New"/>
        </w:rPr>
      </w:r>
    </w:p>
    <w:p>
      <w:pPr>
        <w:pStyle w:val="Department"/>
        <w:rPr>
          <w:rFonts w:ascii="Courier New" w:hAnsi="Courier New" w:cs="Courier New"/>
          <w:b/>
        </w:rPr>
      </w:pPr>
      <w:r>
        <w:rPr>
          <w:rFonts w:cs="Courier New" w:ascii="Courier New" w:hAnsi="Courier New"/>
          <w:b/>
        </w:rPr>
        <w:t>Effective 1/1/2002, the following shippers move from Low Load to High Load.  Several of these customers tend to the flip-flop between High &amp; Low Load categories from year to year. The Reservation GRI rate on firm contracts for these shippers will increase.</w:t>
      </w:r>
    </w:p>
    <w:p>
      <w:pPr>
        <w:pStyle w:val="Department"/>
        <w:rPr>
          <w:rFonts w:ascii="Courier New" w:hAnsi="Courier New" w:cs="Courier New"/>
          <w:b/>
        </w:rPr>
      </w:pPr>
      <w:r>
        <w:rPr>
          <w:rFonts w:cs="Courier New" w:ascii="Courier New" w:hAnsi="Courier New"/>
          <w:b/>
        </w:rPr>
      </w:r>
    </w:p>
    <w:tbl>
      <w:tblPr>
        <w:tblW w:w="7398" w:type="dxa"/>
        <w:jc w:val="start"/>
        <w:tblInd w:w="0" w:type="dxa"/>
        <w:tblLayout w:type="fixed"/>
        <w:tblCellMar>
          <w:top w:w="0" w:type="dxa"/>
          <w:start w:w="108" w:type="dxa"/>
          <w:bottom w:w="0" w:type="dxa"/>
          <w:end w:w="108" w:type="dxa"/>
        </w:tblCellMar>
      </w:tblPr>
      <w:tblGrid>
        <w:gridCol w:w="1278"/>
        <w:gridCol w:w="6120"/>
      </w:tblGrid>
      <w:tr>
        <w:trPr/>
        <w:tc>
          <w:tcPr>
            <w:tcW w:w="1278" w:type="dxa"/>
            <w:tcBorders/>
          </w:tcPr>
          <w:p>
            <w:pPr>
              <w:pStyle w:val="Department"/>
              <w:rPr>
                <w:rFonts w:ascii="Courier New" w:hAnsi="Courier New" w:cs="Courier New"/>
                <w:i/>
                <w:i/>
              </w:rPr>
            </w:pPr>
            <w:r>
              <w:rPr>
                <w:rFonts w:cs="Courier New" w:ascii="Courier New" w:hAnsi="Courier New"/>
                <w:i/>
              </w:rPr>
              <w:t>Legal Entity</w:t>
            </w:r>
          </w:p>
        </w:tc>
        <w:tc>
          <w:tcPr>
            <w:tcW w:w="6120" w:type="dxa"/>
            <w:tcBorders/>
          </w:tcPr>
          <w:p>
            <w:pPr>
              <w:pStyle w:val="Department"/>
              <w:rPr>
                <w:rFonts w:ascii="Courier New" w:hAnsi="Courier New" w:cs="Courier New"/>
                <w:i/>
                <w:i/>
              </w:rPr>
            </w:pPr>
            <w:r>
              <w:rPr>
                <w:rFonts w:cs="Courier New" w:ascii="Courier New" w:hAnsi="Courier New"/>
                <w:i/>
              </w:rPr>
              <w:t>Shipper</w:t>
            </w:r>
          </w:p>
        </w:tc>
      </w:tr>
      <w:tr>
        <w:trPr/>
        <w:tc>
          <w:tcPr>
            <w:tcW w:w="1278" w:type="dxa"/>
            <w:tcBorders/>
          </w:tcPr>
          <w:p>
            <w:pPr>
              <w:pStyle w:val="Department"/>
              <w:rPr>
                <w:rFonts w:ascii="Courier New" w:hAnsi="Courier New" w:cs="Courier New"/>
              </w:rPr>
            </w:pPr>
            <w:r>
              <w:rPr>
                <w:rFonts w:cs="Courier New" w:ascii="Courier New" w:hAnsi="Courier New"/>
              </w:rPr>
              <w:t>391</w:t>
            </w:r>
          </w:p>
        </w:tc>
        <w:tc>
          <w:tcPr>
            <w:tcW w:w="6120" w:type="dxa"/>
            <w:tcBorders/>
          </w:tcPr>
          <w:p>
            <w:pPr>
              <w:pStyle w:val="Department"/>
              <w:rPr>
                <w:rFonts w:ascii="Courier New" w:hAnsi="Courier New" w:cs="Courier New"/>
              </w:rPr>
            </w:pPr>
            <w:r>
              <w:rPr>
                <w:rFonts w:cs="Courier New" w:ascii="Courier New" w:hAnsi="Courier New"/>
              </w:rPr>
              <w:t>Cedar Falls Utilities</w:t>
            </w:r>
          </w:p>
        </w:tc>
      </w:tr>
      <w:tr>
        <w:trPr/>
        <w:tc>
          <w:tcPr>
            <w:tcW w:w="1278" w:type="dxa"/>
            <w:tcBorders/>
          </w:tcPr>
          <w:p>
            <w:pPr>
              <w:pStyle w:val="Department"/>
              <w:rPr>
                <w:rFonts w:ascii="Courier New" w:hAnsi="Courier New" w:cs="Courier New"/>
              </w:rPr>
            </w:pPr>
            <w:r>
              <w:rPr>
                <w:rFonts w:cs="Courier New" w:ascii="Courier New" w:hAnsi="Courier New"/>
              </w:rPr>
              <w:t>344</w:t>
            </w:r>
          </w:p>
        </w:tc>
        <w:tc>
          <w:tcPr>
            <w:tcW w:w="6120" w:type="dxa"/>
            <w:tcBorders/>
          </w:tcPr>
          <w:p>
            <w:pPr>
              <w:pStyle w:val="Department"/>
              <w:rPr>
                <w:rFonts w:ascii="Courier New" w:hAnsi="Courier New" w:cs="Courier New"/>
              </w:rPr>
            </w:pPr>
            <w:r>
              <w:rPr>
                <w:rFonts w:cs="Courier New" w:ascii="Courier New" w:hAnsi="Courier New"/>
              </w:rPr>
              <w:t>City of Duluth</w:t>
            </w:r>
          </w:p>
        </w:tc>
      </w:tr>
      <w:tr>
        <w:trPr/>
        <w:tc>
          <w:tcPr>
            <w:tcW w:w="1278" w:type="dxa"/>
            <w:tcBorders/>
          </w:tcPr>
          <w:p>
            <w:pPr>
              <w:pStyle w:val="Department"/>
              <w:rPr>
                <w:rFonts w:ascii="Courier New" w:hAnsi="Courier New" w:cs="Courier New"/>
              </w:rPr>
            </w:pPr>
            <w:r>
              <w:rPr>
                <w:rFonts w:cs="Courier New" w:ascii="Courier New" w:hAnsi="Courier New"/>
              </w:rPr>
              <w:t>3085</w:t>
            </w:r>
          </w:p>
        </w:tc>
        <w:tc>
          <w:tcPr>
            <w:tcW w:w="6120" w:type="dxa"/>
            <w:tcBorders/>
          </w:tcPr>
          <w:p>
            <w:pPr>
              <w:pStyle w:val="Department"/>
              <w:rPr>
                <w:rFonts w:ascii="Courier New" w:hAnsi="Courier New" w:cs="Courier New"/>
              </w:rPr>
            </w:pPr>
            <w:r>
              <w:rPr>
                <w:rFonts w:cs="Courier New" w:ascii="Courier New" w:hAnsi="Courier New"/>
              </w:rPr>
              <w:t>City of Ponca</w:t>
            </w:r>
          </w:p>
        </w:tc>
      </w:tr>
      <w:tr>
        <w:trPr/>
        <w:tc>
          <w:tcPr>
            <w:tcW w:w="1278" w:type="dxa"/>
            <w:tcBorders/>
          </w:tcPr>
          <w:p>
            <w:pPr>
              <w:pStyle w:val="Department"/>
              <w:rPr>
                <w:rFonts w:ascii="Courier New" w:hAnsi="Courier New" w:cs="Courier New"/>
              </w:rPr>
            </w:pPr>
            <w:r>
              <w:rPr>
                <w:rFonts w:cs="Courier New" w:ascii="Courier New" w:hAnsi="Courier New"/>
              </w:rPr>
              <w:t>8884</w:t>
            </w:r>
          </w:p>
        </w:tc>
        <w:tc>
          <w:tcPr>
            <w:tcW w:w="6120" w:type="dxa"/>
            <w:tcBorders/>
          </w:tcPr>
          <w:p>
            <w:pPr>
              <w:pStyle w:val="Department"/>
              <w:rPr>
                <w:rFonts w:ascii="Courier New" w:hAnsi="Courier New" w:cs="Courier New"/>
              </w:rPr>
            </w:pPr>
            <w:r>
              <w:rPr>
                <w:rFonts w:cs="Courier New" w:ascii="Courier New" w:hAnsi="Courier New"/>
              </w:rPr>
              <w:t>City of Round Lake, MN</w:t>
            </w:r>
          </w:p>
        </w:tc>
      </w:tr>
      <w:tr>
        <w:trPr/>
        <w:tc>
          <w:tcPr>
            <w:tcW w:w="1278" w:type="dxa"/>
            <w:tcBorders/>
          </w:tcPr>
          <w:p>
            <w:pPr>
              <w:pStyle w:val="Department"/>
              <w:rPr>
                <w:rFonts w:ascii="Courier New" w:hAnsi="Courier New" w:cs="Courier New"/>
              </w:rPr>
            </w:pPr>
            <w:r>
              <w:rPr>
                <w:rFonts w:cs="Courier New" w:ascii="Courier New" w:hAnsi="Courier New"/>
              </w:rPr>
              <w:t>7868</w:t>
            </w:r>
          </w:p>
        </w:tc>
        <w:tc>
          <w:tcPr>
            <w:tcW w:w="6120" w:type="dxa"/>
            <w:tcBorders/>
          </w:tcPr>
          <w:p>
            <w:pPr>
              <w:pStyle w:val="Department"/>
              <w:rPr>
                <w:rFonts w:ascii="Courier New" w:hAnsi="Courier New" w:cs="Courier New"/>
              </w:rPr>
            </w:pPr>
            <w:r>
              <w:rPr>
                <w:rFonts w:cs="Courier New" w:ascii="Courier New" w:hAnsi="Courier New"/>
              </w:rPr>
              <w:t>City of Tipton</w:t>
            </w:r>
          </w:p>
        </w:tc>
      </w:tr>
      <w:tr>
        <w:trPr/>
        <w:tc>
          <w:tcPr>
            <w:tcW w:w="1278" w:type="dxa"/>
            <w:tcBorders/>
          </w:tcPr>
          <w:p>
            <w:pPr>
              <w:pStyle w:val="Department"/>
              <w:rPr>
                <w:rFonts w:ascii="Courier New" w:hAnsi="Courier New" w:cs="Courier New"/>
              </w:rPr>
            </w:pPr>
            <w:r>
              <w:rPr>
                <w:rFonts w:cs="Courier New" w:ascii="Courier New" w:hAnsi="Courier New"/>
              </w:rPr>
              <w:t>330</w:t>
            </w:r>
          </w:p>
        </w:tc>
        <w:tc>
          <w:tcPr>
            <w:tcW w:w="6120" w:type="dxa"/>
            <w:tcBorders/>
          </w:tcPr>
          <w:p>
            <w:pPr>
              <w:pStyle w:val="Department"/>
              <w:rPr>
                <w:rFonts w:ascii="Courier New" w:hAnsi="Courier New" w:cs="Courier New"/>
              </w:rPr>
            </w:pPr>
            <w:r>
              <w:rPr>
                <w:rFonts w:cs="Courier New" w:ascii="Courier New" w:hAnsi="Courier New"/>
              </w:rPr>
              <w:t>Enron North America</w:t>
            </w:r>
          </w:p>
        </w:tc>
      </w:tr>
      <w:tr>
        <w:trPr/>
        <w:tc>
          <w:tcPr>
            <w:tcW w:w="1278" w:type="dxa"/>
            <w:tcBorders/>
          </w:tcPr>
          <w:p>
            <w:pPr>
              <w:pStyle w:val="Department"/>
              <w:rPr>
                <w:rFonts w:ascii="Courier New" w:hAnsi="Courier New" w:cs="Courier New"/>
              </w:rPr>
            </w:pPr>
            <w:r>
              <w:rPr>
                <w:rFonts w:cs="Courier New" w:ascii="Courier New" w:hAnsi="Courier New"/>
              </w:rPr>
              <w:t>776</w:t>
            </w:r>
          </w:p>
        </w:tc>
        <w:tc>
          <w:tcPr>
            <w:tcW w:w="6120" w:type="dxa"/>
            <w:tcBorders/>
          </w:tcPr>
          <w:p>
            <w:pPr>
              <w:pStyle w:val="Department"/>
              <w:rPr>
                <w:rFonts w:ascii="Courier New" w:hAnsi="Courier New" w:cs="Courier New"/>
              </w:rPr>
            </w:pPr>
            <w:r>
              <w:rPr>
                <w:rFonts w:cs="Courier New" w:ascii="Courier New" w:hAnsi="Courier New"/>
              </w:rPr>
              <w:t>Greattinger Municipal Gas</w:t>
            </w:r>
          </w:p>
        </w:tc>
      </w:tr>
      <w:tr>
        <w:trPr/>
        <w:tc>
          <w:tcPr>
            <w:tcW w:w="1278" w:type="dxa"/>
            <w:tcBorders/>
          </w:tcPr>
          <w:p>
            <w:pPr>
              <w:pStyle w:val="Department"/>
              <w:rPr>
                <w:rFonts w:ascii="Courier New" w:hAnsi="Courier New" w:cs="Courier New"/>
              </w:rPr>
            </w:pPr>
            <w:r>
              <w:rPr>
                <w:rFonts w:cs="Courier New" w:ascii="Courier New" w:hAnsi="Courier New"/>
              </w:rPr>
              <w:t>13232</w:t>
            </w:r>
          </w:p>
        </w:tc>
        <w:tc>
          <w:tcPr>
            <w:tcW w:w="6120" w:type="dxa"/>
            <w:tcBorders/>
          </w:tcPr>
          <w:p>
            <w:pPr>
              <w:pStyle w:val="Department"/>
              <w:rPr>
                <w:rFonts w:ascii="Courier New" w:hAnsi="Courier New" w:cs="Courier New"/>
              </w:rPr>
            </w:pPr>
            <w:r>
              <w:rPr>
                <w:rFonts w:cs="Courier New" w:ascii="Courier New" w:hAnsi="Courier New"/>
              </w:rPr>
              <w:t>Hawkeye Leisure Trailers, Ltd.</w:t>
            </w:r>
          </w:p>
        </w:tc>
      </w:tr>
      <w:tr>
        <w:trPr/>
        <w:tc>
          <w:tcPr>
            <w:tcW w:w="1278" w:type="dxa"/>
            <w:tcBorders/>
          </w:tcPr>
          <w:p>
            <w:pPr>
              <w:pStyle w:val="Department"/>
              <w:rPr>
                <w:rFonts w:ascii="Courier New" w:hAnsi="Courier New" w:cs="Courier New"/>
              </w:rPr>
            </w:pPr>
            <w:r>
              <w:rPr>
                <w:rFonts w:cs="Courier New" w:ascii="Courier New" w:hAnsi="Courier New"/>
              </w:rPr>
              <w:t>11918</w:t>
            </w:r>
          </w:p>
        </w:tc>
        <w:tc>
          <w:tcPr>
            <w:tcW w:w="6120" w:type="dxa"/>
            <w:tcBorders/>
          </w:tcPr>
          <w:p>
            <w:pPr>
              <w:pStyle w:val="Department"/>
              <w:rPr>
                <w:rFonts w:ascii="Courier New" w:hAnsi="Courier New" w:cs="Courier New"/>
              </w:rPr>
            </w:pPr>
            <w:r>
              <w:rPr>
                <w:rFonts w:cs="Courier New" w:ascii="Courier New" w:hAnsi="Courier New"/>
              </w:rPr>
              <w:t>Lamar Power Partners, LP.</w:t>
            </w:r>
          </w:p>
        </w:tc>
      </w:tr>
      <w:tr>
        <w:trPr/>
        <w:tc>
          <w:tcPr>
            <w:tcW w:w="1278" w:type="dxa"/>
            <w:tcBorders/>
          </w:tcPr>
          <w:p>
            <w:pPr>
              <w:pStyle w:val="Department"/>
              <w:rPr>
                <w:rFonts w:ascii="Courier New" w:hAnsi="Courier New" w:cs="Courier New"/>
              </w:rPr>
            </w:pPr>
            <w:r>
              <w:rPr>
                <w:rFonts w:cs="Courier New" w:ascii="Courier New" w:hAnsi="Courier New"/>
              </w:rPr>
              <w:t>392</w:t>
            </w:r>
          </w:p>
        </w:tc>
        <w:tc>
          <w:tcPr>
            <w:tcW w:w="6120" w:type="dxa"/>
            <w:tcBorders/>
          </w:tcPr>
          <w:p>
            <w:pPr>
              <w:pStyle w:val="Department"/>
              <w:rPr>
                <w:rFonts w:ascii="Courier New" w:hAnsi="Courier New" w:cs="Courier New"/>
              </w:rPr>
            </w:pPr>
            <w:r>
              <w:rPr>
                <w:rFonts w:cs="Courier New" w:ascii="Courier New" w:hAnsi="Courier New"/>
              </w:rPr>
              <w:t>MidAmerican Energy</w:t>
            </w:r>
          </w:p>
        </w:tc>
      </w:tr>
      <w:tr>
        <w:trPr/>
        <w:tc>
          <w:tcPr>
            <w:tcW w:w="1278" w:type="dxa"/>
            <w:tcBorders/>
          </w:tcPr>
          <w:p>
            <w:pPr>
              <w:pStyle w:val="Department"/>
              <w:rPr>
                <w:rFonts w:ascii="Courier New" w:hAnsi="Courier New" w:cs="Courier New"/>
              </w:rPr>
            </w:pPr>
            <w:r>
              <w:rPr>
                <w:rFonts w:cs="Courier New" w:ascii="Courier New" w:hAnsi="Courier New"/>
              </w:rPr>
              <w:t>9664</w:t>
            </w:r>
          </w:p>
        </w:tc>
        <w:tc>
          <w:tcPr>
            <w:tcW w:w="6120" w:type="dxa"/>
            <w:tcBorders/>
          </w:tcPr>
          <w:p>
            <w:pPr>
              <w:pStyle w:val="Department"/>
              <w:rPr>
                <w:rFonts w:ascii="Courier New" w:hAnsi="Courier New" w:cs="Courier New"/>
              </w:rPr>
            </w:pPr>
            <w:r>
              <w:rPr>
                <w:rFonts w:cs="Courier New" w:ascii="Courier New" w:hAnsi="Courier New"/>
              </w:rPr>
              <w:t>Nebraska Public Gas Agency</w:t>
            </w:r>
          </w:p>
        </w:tc>
      </w:tr>
      <w:tr>
        <w:trPr/>
        <w:tc>
          <w:tcPr>
            <w:tcW w:w="1278" w:type="dxa"/>
            <w:tcBorders/>
          </w:tcPr>
          <w:p>
            <w:pPr>
              <w:pStyle w:val="Department"/>
              <w:rPr>
                <w:rFonts w:ascii="Courier New" w:hAnsi="Courier New" w:cs="Courier New"/>
              </w:rPr>
            </w:pPr>
            <w:r>
              <w:rPr>
                <w:rFonts w:cs="Courier New" w:ascii="Courier New" w:hAnsi="Courier New"/>
              </w:rPr>
              <w:t>11762</w:t>
            </w:r>
          </w:p>
        </w:tc>
        <w:tc>
          <w:tcPr>
            <w:tcW w:w="6120" w:type="dxa"/>
            <w:tcBorders/>
          </w:tcPr>
          <w:p>
            <w:pPr>
              <w:pStyle w:val="Department"/>
              <w:rPr>
                <w:rFonts w:ascii="Courier New" w:hAnsi="Courier New" w:cs="Courier New"/>
              </w:rPr>
            </w:pPr>
            <w:r>
              <w:rPr>
                <w:rFonts w:cs="Courier New" w:ascii="Courier New" w:hAnsi="Courier New"/>
              </w:rPr>
              <w:t>Northwestern Energy Corporation</w:t>
            </w:r>
          </w:p>
        </w:tc>
      </w:tr>
      <w:tr>
        <w:trPr/>
        <w:tc>
          <w:tcPr>
            <w:tcW w:w="1278" w:type="dxa"/>
            <w:tcBorders/>
          </w:tcPr>
          <w:p>
            <w:pPr>
              <w:pStyle w:val="Department"/>
              <w:rPr>
                <w:rFonts w:ascii="Courier New" w:hAnsi="Courier New" w:cs="Courier New"/>
              </w:rPr>
            </w:pPr>
            <w:r>
              <w:rPr>
                <w:rFonts w:cs="Courier New" w:ascii="Courier New" w:hAnsi="Courier New"/>
              </w:rPr>
              <w:t>7726</w:t>
            </w:r>
          </w:p>
        </w:tc>
        <w:tc>
          <w:tcPr>
            <w:tcW w:w="6120" w:type="dxa"/>
            <w:tcBorders/>
          </w:tcPr>
          <w:p>
            <w:pPr>
              <w:pStyle w:val="Department"/>
              <w:rPr>
                <w:rFonts w:ascii="Courier New" w:hAnsi="Courier New" w:cs="Courier New"/>
              </w:rPr>
            </w:pPr>
            <w:r>
              <w:rPr>
                <w:rFonts w:cs="Courier New" w:ascii="Courier New" w:hAnsi="Courier New"/>
              </w:rPr>
              <w:t>Pancanadian Energy Services LP</w:t>
            </w:r>
          </w:p>
        </w:tc>
      </w:tr>
      <w:tr>
        <w:trPr/>
        <w:tc>
          <w:tcPr>
            <w:tcW w:w="1278" w:type="dxa"/>
            <w:tcBorders/>
          </w:tcPr>
          <w:p>
            <w:pPr>
              <w:pStyle w:val="Department"/>
              <w:rPr>
                <w:rFonts w:ascii="Courier New" w:hAnsi="Courier New" w:cs="Courier New"/>
              </w:rPr>
            </w:pPr>
            <w:r>
              <w:rPr>
                <w:rFonts w:cs="Courier New" w:ascii="Courier New" w:hAnsi="Courier New"/>
              </w:rPr>
              <w:t>413</w:t>
            </w:r>
          </w:p>
        </w:tc>
        <w:tc>
          <w:tcPr>
            <w:tcW w:w="6120" w:type="dxa"/>
            <w:tcBorders/>
          </w:tcPr>
          <w:p>
            <w:pPr>
              <w:pStyle w:val="Department"/>
              <w:rPr>
                <w:rFonts w:ascii="Courier New" w:hAnsi="Courier New" w:cs="Courier New"/>
              </w:rPr>
            </w:pPr>
            <w:r>
              <w:rPr>
                <w:rFonts w:cs="Courier New" w:ascii="Courier New" w:hAnsi="Courier New"/>
              </w:rPr>
              <w:t>Peninsular Gas Company</w:t>
            </w:r>
          </w:p>
        </w:tc>
      </w:tr>
      <w:tr>
        <w:trPr/>
        <w:tc>
          <w:tcPr>
            <w:tcW w:w="1278" w:type="dxa"/>
            <w:tcBorders/>
          </w:tcPr>
          <w:p>
            <w:pPr>
              <w:pStyle w:val="Department"/>
              <w:rPr>
                <w:rFonts w:ascii="Courier New" w:hAnsi="Courier New" w:cs="Courier New"/>
              </w:rPr>
            </w:pPr>
            <w:r>
              <w:rPr>
                <w:rFonts w:cs="Courier New" w:ascii="Courier New" w:hAnsi="Courier New"/>
              </w:rPr>
              <w:t>6464</w:t>
            </w:r>
          </w:p>
        </w:tc>
        <w:tc>
          <w:tcPr>
            <w:tcW w:w="6120" w:type="dxa"/>
            <w:tcBorders/>
          </w:tcPr>
          <w:p>
            <w:pPr>
              <w:pStyle w:val="Department"/>
              <w:rPr>
                <w:rFonts w:ascii="Courier New" w:hAnsi="Courier New" w:cs="Courier New"/>
              </w:rPr>
            </w:pPr>
            <w:r>
              <w:rPr>
                <w:rFonts w:cs="Courier New" w:ascii="Courier New" w:hAnsi="Courier New"/>
              </w:rPr>
              <w:t>Rock Rapids Municipal Utilities</w:t>
            </w:r>
          </w:p>
        </w:tc>
      </w:tr>
      <w:tr>
        <w:trPr/>
        <w:tc>
          <w:tcPr>
            <w:tcW w:w="1278" w:type="dxa"/>
            <w:tcBorders/>
          </w:tcPr>
          <w:p>
            <w:pPr>
              <w:pStyle w:val="Department"/>
              <w:rPr>
                <w:rFonts w:ascii="Courier New" w:hAnsi="Courier New" w:cs="Courier New"/>
              </w:rPr>
            </w:pPr>
            <w:r>
              <w:rPr>
                <w:rFonts w:cs="Courier New" w:ascii="Courier New" w:hAnsi="Courier New"/>
              </w:rPr>
              <w:t>401</w:t>
            </w:r>
          </w:p>
        </w:tc>
        <w:tc>
          <w:tcPr>
            <w:tcW w:w="6120" w:type="dxa"/>
            <w:tcBorders/>
          </w:tcPr>
          <w:p>
            <w:pPr>
              <w:pStyle w:val="Department"/>
              <w:rPr>
                <w:rFonts w:ascii="Courier New" w:hAnsi="Courier New" w:cs="Courier New"/>
              </w:rPr>
            </w:pPr>
            <w:r>
              <w:rPr>
                <w:rFonts w:cs="Courier New" w:ascii="Courier New" w:hAnsi="Courier New"/>
              </w:rPr>
              <w:t>St. Croix Valley Natural Gas</w:t>
            </w:r>
          </w:p>
        </w:tc>
      </w:tr>
      <w:tr>
        <w:trPr/>
        <w:tc>
          <w:tcPr>
            <w:tcW w:w="1278" w:type="dxa"/>
            <w:tcBorders/>
          </w:tcPr>
          <w:p>
            <w:pPr>
              <w:pStyle w:val="Department"/>
              <w:rPr>
                <w:rFonts w:ascii="Courier New" w:hAnsi="Courier New" w:cs="Courier New"/>
              </w:rPr>
            </w:pPr>
            <w:r>
              <w:rPr>
                <w:rFonts w:cs="Courier New" w:ascii="Courier New" w:hAnsi="Courier New"/>
              </w:rPr>
              <w:t>7869</w:t>
            </w:r>
          </w:p>
        </w:tc>
        <w:tc>
          <w:tcPr>
            <w:tcW w:w="6120" w:type="dxa"/>
            <w:tcBorders/>
          </w:tcPr>
          <w:p>
            <w:pPr>
              <w:pStyle w:val="Department"/>
              <w:rPr>
                <w:rFonts w:ascii="Courier New" w:hAnsi="Courier New" w:cs="Courier New"/>
              </w:rPr>
            </w:pPr>
            <w:r>
              <w:rPr>
                <w:rFonts w:cs="Courier New" w:ascii="Courier New" w:hAnsi="Courier New"/>
              </w:rPr>
              <w:t>Town of Brooklyn</w:t>
            </w:r>
          </w:p>
        </w:tc>
      </w:tr>
      <w:tr>
        <w:trPr/>
        <w:tc>
          <w:tcPr>
            <w:tcW w:w="1278" w:type="dxa"/>
            <w:tcBorders/>
          </w:tcPr>
          <w:p>
            <w:pPr>
              <w:pStyle w:val="Department"/>
              <w:rPr>
                <w:rFonts w:ascii="Courier New" w:hAnsi="Courier New" w:cs="Courier New"/>
              </w:rPr>
            </w:pPr>
            <w:r>
              <w:rPr>
                <w:rFonts w:cs="Courier New" w:ascii="Courier New" w:hAnsi="Courier New"/>
              </w:rPr>
              <w:t>7866</w:t>
            </w:r>
          </w:p>
        </w:tc>
        <w:tc>
          <w:tcPr>
            <w:tcW w:w="6120" w:type="dxa"/>
            <w:tcBorders/>
          </w:tcPr>
          <w:p>
            <w:pPr>
              <w:pStyle w:val="Department"/>
              <w:rPr>
                <w:rFonts w:ascii="Courier New" w:hAnsi="Courier New" w:cs="Courier New"/>
              </w:rPr>
            </w:pPr>
            <w:r>
              <w:rPr>
                <w:rFonts w:cs="Courier New" w:ascii="Courier New" w:hAnsi="Courier New"/>
              </w:rPr>
              <w:t>Town of Waukee</w:t>
            </w:r>
          </w:p>
        </w:tc>
      </w:tr>
      <w:tr>
        <w:trPr/>
        <w:tc>
          <w:tcPr>
            <w:tcW w:w="1278" w:type="dxa"/>
            <w:tcBorders/>
          </w:tcPr>
          <w:p>
            <w:pPr>
              <w:pStyle w:val="Department"/>
              <w:rPr>
                <w:rFonts w:ascii="Courier New" w:hAnsi="Courier New" w:cs="Courier New"/>
              </w:rPr>
            </w:pPr>
            <w:r>
              <w:rPr>
                <w:rFonts w:cs="Courier New" w:ascii="Courier New" w:hAnsi="Courier New"/>
              </w:rPr>
              <w:t>11832</w:t>
            </w:r>
          </w:p>
        </w:tc>
        <w:tc>
          <w:tcPr>
            <w:tcW w:w="6120" w:type="dxa"/>
            <w:tcBorders/>
          </w:tcPr>
          <w:p>
            <w:pPr>
              <w:pStyle w:val="Department"/>
              <w:rPr>
                <w:rFonts w:ascii="Courier New" w:hAnsi="Courier New" w:cs="Courier New"/>
              </w:rPr>
            </w:pPr>
            <w:r>
              <w:rPr>
                <w:rFonts w:cs="Courier New" w:ascii="Courier New" w:hAnsi="Courier New"/>
              </w:rPr>
              <w:t>Transcanada Energy Marketing</w:t>
            </w:r>
          </w:p>
        </w:tc>
      </w:tr>
      <w:tr>
        <w:trPr/>
        <w:tc>
          <w:tcPr>
            <w:tcW w:w="1278" w:type="dxa"/>
            <w:tcBorders/>
          </w:tcPr>
          <w:p>
            <w:pPr>
              <w:pStyle w:val="Department"/>
              <w:rPr>
                <w:rFonts w:ascii="Courier New" w:hAnsi="Courier New" w:cs="Courier New"/>
              </w:rPr>
            </w:pPr>
            <w:r>
              <w:rPr>
                <w:rFonts w:cs="Courier New" w:ascii="Courier New" w:hAnsi="Courier New"/>
              </w:rPr>
              <w:t>82</w:t>
            </w:r>
          </w:p>
        </w:tc>
        <w:tc>
          <w:tcPr>
            <w:tcW w:w="6120" w:type="dxa"/>
            <w:tcBorders/>
          </w:tcPr>
          <w:p>
            <w:pPr>
              <w:pStyle w:val="Department"/>
              <w:rPr>
                <w:rFonts w:ascii="Courier New" w:hAnsi="Courier New" w:cs="Courier New"/>
              </w:rPr>
            </w:pPr>
            <w:r>
              <w:rPr>
                <w:rFonts w:cs="Courier New" w:ascii="Courier New" w:hAnsi="Courier New"/>
              </w:rPr>
              <w:t>West Texas Gas</w:t>
            </w:r>
          </w:p>
        </w:tc>
      </w:tr>
      <w:tr>
        <w:trPr/>
        <w:tc>
          <w:tcPr>
            <w:tcW w:w="1278" w:type="dxa"/>
            <w:tcBorders/>
          </w:tcPr>
          <w:p>
            <w:pPr>
              <w:pStyle w:val="Department"/>
              <w:rPr>
                <w:rFonts w:ascii="Courier New" w:hAnsi="Courier New" w:cs="Courier New"/>
              </w:rPr>
            </w:pPr>
            <w:r>
              <w:rPr>
                <w:rFonts w:cs="Courier New" w:ascii="Courier New" w:hAnsi="Courier New"/>
              </w:rPr>
              <w:t>9680</w:t>
            </w:r>
          </w:p>
        </w:tc>
        <w:tc>
          <w:tcPr>
            <w:tcW w:w="6120" w:type="dxa"/>
            <w:tcBorders/>
          </w:tcPr>
          <w:p>
            <w:pPr>
              <w:pStyle w:val="Department"/>
              <w:rPr>
                <w:rFonts w:ascii="Courier New" w:hAnsi="Courier New" w:cs="Courier New"/>
              </w:rPr>
            </w:pPr>
            <w:r>
              <w:rPr>
                <w:rFonts w:cs="Courier New" w:ascii="Courier New" w:hAnsi="Courier New"/>
              </w:rPr>
              <w:t>Westbrook Light &amp; Power</w:t>
            </w:r>
          </w:p>
        </w:tc>
      </w:tr>
      <w:tr>
        <w:trPr/>
        <w:tc>
          <w:tcPr>
            <w:tcW w:w="1278" w:type="dxa"/>
            <w:tcBorders/>
          </w:tcPr>
          <w:p>
            <w:pPr>
              <w:pStyle w:val="Department"/>
              <w:rPr>
                <w:rFonts w:ascii="Courier New" w:hAnsi="Courier New" w:cs="Courier New"/>
              </w:rPr>
            </w:pPr>
            <w:r>
              <w:rPr>
                <w:rFonts w:cs="Courier New" w:ascii="Courier New" w:hAnsi="Courier New"/>
              </w:rPr>
              <w:t>521</w:t>
            </w:r>
          </w:p>
        </w:tc>
        <w:tc>
          <w:tcPr>
            <w:tcW w:w="6120" w:type="dxa"/>
            <w:tcBorders/>
          </w:tcPr>
          <w:p>
            <w:pPr>
              <w:pStyle w:val="Department"/>
              <w:rPr>
                <w:rFonts w:ascii="Courier New" w:hAnsi="Courier New" w:cs="Courier New"/>
              </w:rPr>
            </w:pPr>
            <w:r>
              <w:rPr>
                <w:rFonts w:cs="Courier New" w:ascii="Courier New" w:hAnsi="Courier New"/>
              </w:rPr>
              <w:t>Wisconsin Electric Power Company</w:t>
            </w:r>
          </w:p>
        </w:tc>
      </w:tr>
      <w:tr>
        <w:trPr/>
        <w:tc>
          <w:tcPr>
            <w:tcW w:w="1278" w:type="dxa"/>
            <w:tcBorders/>
          </w:tcPr>
          <w:p>
            <w:pPr>
              <w:pStyle w:val="Department"/>
              <w:snapToGrid w:val="false"/>
              <w:rPr>
                <w:rFonts w:ascii="Courier New" w:hAnsi="Courier New" w:cs="Courier New"/>
              </w:rPr>
            </w:pPr>
            <w:r>
              <w:rPr>
                <w:rFonts w:cs="Courier New" w:ascii="Courier New" w:hAnsi="Courier New"/>
              </w:rPr>
            </w:r>
          </w:p>
        </w:tc>
        <w:tc>
          <w:tcPr>
            <w:tcW w:w="6120" w:type="dxa"/>
            <w:tcBorders/>
          </w:tcPr>
          <w:p>
            <w:pPr>
              <w:pStyle w:val="Department"/>
              <w:snapToGrid w:val="false"/>
              <w:rPr>
                <w:rFonts w:ascii="Courier New" w:hAnsi="Courier New" w:cs="Courier New"/>
              </w:rPr>
            </w:pPr>
            <w:r>
              <w:rPr>
                <w:rFonts w:cs="Courier New" w:ascii="Courier New" w:hAnsi="Courier New"/>
              </w:rPr>
            </w:r>
          </w:p>
        </w:tc>
      </w:tr>
    </w:tbl>
    <w:p>
      <w:pPr>
        <w:pStyle w:val="Department"/>
        <w:rPr>
          <w:rFonts w:ascii="Courier New" w:hAnsi="Courier New" w:cs="Courier New"/>
        </w:rPr>
      </w:pPr>
      <w:r>
        <w:rPr>
          <w:rFonts w:cs="Courier New" w:ascii="Courier New" w:hAnsi="Courier New"/>
        </w:rPr>
      </w:r>
    </w:p>
    <w:sectPr>
      <w:headerReference w:type="default" r:id="rId3"/>
      <w:headerReference w:type="first" r:id="rId4"/>
      <w:type w:val="nextPage"/>
      <w:pgSz w:w="12240" w:h="15840"/>
      <w:pgMar w:left="720" w:right="720" w:gutter="0" w:header="720" w:top="776" w:footer="0"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Courier New" w:ascii="Courier New" w:hAnsi="Courier New"/>
        <w:sz w:val="22"/>
      </w:rPr>
      <w:tab/>
    </w:r>
    <w:r>
      <w:rPr>
        <w:rFonts w:cs="Courier New" w:ascii="Courier New" w:hAnsi="Courier New"/>
        <w:sz w:val="22"/>
      </w:rPr>
      <w:fldChar w:fldCharType="begin"/>
    </w:r>
    <w:r>
      <w:rPr>
        <w:sz w:val="22"/>
        <w:rFonts w:cs="Courier New" w:ascii="Courier New" w:hAnsi="Courier New"/>
      </w:rPr>
      <w:instrText xml:space="preserve"> DATE \@"M/d/yyyy" </w:instrText>
    </w:r>
    <w:r>
      <w:rPr>
        <w:sz w:val="22"/>
        <w:rFonts w:cs="Courier New" w:ascii="Courier New" w:hAnsi="Courier New"/>
      </w:rPr>
      <w:fldChar w:fldCharType="separate"/>
    </w:r>
    <w:r>
      <w:rPr>
        <w:sz w:val="22"/>
        <w:rFonts w:cs="Courier New" w:ascii="Courier New" w:hAnsi="Courier New"/>
      </w:rPr>
      <w:t>9/28/2025</w:t>
    </w:r>
    <w:r>
      <w:rPr>
        <w:sz w:val="22"/>
        <w:rFonts w:cs="Courier New" w:ascii="Courier New" w:hAnsi="Courier New"/>
      </w:rPr>
      <w:fldChar w:fldCharType="end"/>
    </w:r>
    <w:r>
      <w:rPr>
        <w:rFonts w:cs="Courier New" w:ascii="Courier New" w:hAnsi="Courier New"/>
        <w:sz w:val="22"/>
      </w:rPr>
      <w:tab/>
      <w:t xml:space="preserve">Page </w:t>
    </w:r>
    <w:r>
      <w:rPr>
        <w:rFonts w:cs="Courier New" w:ascii="Courier New" w:hAnsi="Courier New"/>
        <w:sz w:val="22"/>
      </w:rPr>
      <w:fldChar w:fldCharType="begin"/>
    </w:r>
    <w:r>
      <w:rPr>
        <w:sz w:val="22"/>
        <w:rFonts w:cs="Courier New" w:ascii="Courier New" w:hAnsi="Courier New"/>
      </w:rPr>
      <w:instrText xml:space="preserve"> PAGE </w:instrText>
    </w:r>
    <w:r>
      <w:rPr>
        <w:sz w:val="22"/>
        <w:rFonts w:cs="Courier New" w:ascii="Courier New" w:hAnsi="Courier New"/>
      </w:rPr>
      <w:fldChar w:fldCharType="separate"/>
    </w:r>
    <w:r>
      <w:rPr>
        <w:sz w:val="22"/>
        <w:rFonts w:cs="Courier New" w:ascii="Courier New" w:hAnsi="Courier New"/>
      </w:rPr>
      <w:t>2</w:t>
    </w:r>
    <w:r>
      <w:rPr>
        <w:sz w:val="22"/>
        <w:rFonts w:cs="Courier New" w:ascii="Courier New" w:hAnsi="Courier Ne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188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2001-01-03T19:18:00Z</dcterms:created>
  <dc:creator>..</dc:creator>
  <dc:description/>
  <dc:language>en-CA</dc:language>
  <cp:lastModifiedBy>rbianchi</cp:lastModifiedBy>
  <cp:lastPrinted>2001-11-21T14:33:00Z</cp:lastPrinted>
  <dcterms:modified xsi:type="dcterms:W3CDTF">2001-11-21T18:17:00Z</dcterms:modified>
  <cp:revision>9</cp:revision>
  <dc:subject/>
  <dc:title>Better, Faster, Simpler Memo </dc:title>
</cp:coreProperties>
</file>