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Heading"/>
        <w:rPr/>
      </w:pPr>
      <w:r>
        <w:rPr/>
        <w:tab/>
      </w:r>
    </w:p>
    <w:tbl>
      <w:tblPr>
        <w:tblW w:w="10708" w:type="dxa"/>
        <w:jc w:val="start"/>
        <w:tblInd w:w="200" w:type="dxa"/>
        <w:tblLayout w:type="fixed"/>
        <w:tblCellMar>
          <w:top w:w="0" w:type="dxa"/>
          <w:start w:w="108" w:type="dxa"/>
          <w:bottom w:w="0" w:type="dxa"/>
          <w:end w:w="108" w:type="dxa"/>
        </w:tblCellMar>
      </w:tblPr>
      <w:tblGrid>
        <w:gridCol w:w="708"/>
        <w:gridCol w:w="6045"/>
        <w:gridCol w:w="985"/>
        <w:gridCol w:w="5"/>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rFonts w:ascii="Courier New" w:hAnsi="Courier New" w:cs="Courier New"/>
              </w:rPr>
            </w:pPr>
            <w:bookmarkStart w:id="0" w:name="to"/>
            <w:bookmarkEnd w:id="0"/>
            <w:r>
              <w:rPr>
                <w:rFonts w:cs="Courier New" w:ascii="Courier New" w:hAnsi="Courier New"/>
              </w:rPr>
              <w:t>NNG Marketing</w:t>
            </w:r>
          </w:p>
        </w:tc>
        <w:tc>
          <w:tcPr>
            <w:tcW w:w="990" w:type="dxa"/>
            <w:gridSpan w:val="2"/>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gridSpan w:val="2"/>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rFonts w:ascii="Courier New" w:hAnsi="Courier New" w:cs="Courier New"/>
              </w:rPr>
            </w:pPr>
            <w:r>
              <w:rPr>
                <w:rFonts w:cs="Courier New" w:ascii="Courier New" w:hAnsi="Courier New"/>
              </w:rPr>
              <w:t>Rita Bianchi</w:t>
            </w:r>
          </w:p>
        </w:tc>
        <w:tc>
          <w:tcPr>
            <w:tcW w:w="990" w:type="dxa"/>
            <w:gridSpan w:val="2"/>
            <w:tcBorders/>
          </w:tcPr>
          <w:p>
            <w:pPr>
              <w:pStyle w:val="Normal"/>
              <w:ind w:start="-180" w:end="0"/>
              <w:jc w:val="end"/>
              <w:rPr>
                <w:sz w:val="16"/>
              </w:rPr>
            </w:pPr>
            <w:r>
              <w:rPr>
                <w:sz w:val="16"/>
              </w:rPr>
              <w:t>Department:</w:t>
            </w:r>
          </w:p>
        </w:tc>
        <w:tc>
          <w:tcPr>
            <w:tcW w:w="2965" w:type="dxa"/>
            <w:tcBorders/>
          </w:tcPr>
          <w:p>
            <w:pPr>
              <w:pStyle w:val="Department"/>
              <w:rPr>
                <w:rFonts w:ascii="Courier New" w:hAnsi="Courier New" w:cs="Courier New"/>
              </w:rPr>
            </w:pPr>
            <w:bookmarkStart w:id="1" w:name="From"/>
            <w:bookmarkEnd w:id="1"/>
            <w:r>
              <w:rPr>
                <w:rFonts w:cs="Courier New" w:ascii="Courier New" w:hAnsi="Courier New"/>
              </w:rPr>
              <w:t>Rates &amp; Certificates</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gridSpan w:val="2"/>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8" w:space="0" w:color="000000"/>
            </w:tcBorders>
          </w:tcPr>
          <w:p>
            <w:pPr>
              <w:pStyle w:val="Normal"/>
              <w:ind w:start="-180" w:end="0"/>
              <w:jc w:val="end"/>
              <w:rPr>
                <w:sz w:val="16"/>
              </w:rPr>
            </w:pPr>
            <w:r>
              <w:rPr>
                <w:sz w:val="16"/>
              </w:rPr>
              <w:t>Subject:</w:t>
            </w:r>
          </w:p>
        </w:tc>
        <w:tc>
          <w:tcPr>
            <w:tcW w:w="6045" w:type="dxa"/>
            <w:tcBorders>
              <w:bottom w:val="single" w:sz="18" w:space="0" w:color="000000"/>
            </w:tcBorders>
          </w:tcPr>
          <w:p>
            <w:pPr>
              <w:pStyle w:val="Subject"/>
              <w:rPr>
                <w:rFonts w:ascii="Courier New" w:hAnsi="Courier New" w:cs="Courier New"/>
              </w:rPr>
            </w:pPr>
            <w:bookmarkStart w:id="2" w:name="Subject"/>
            <w:bookmarkEnd w:id="2"/>
            <w:r>
              <w:rPr>
                <w:rFonts w:cs="Courier New" w:ascii="Courier New" w:hAnsi="Courier New"/>
              </w:rPr>
              <w:t>2001 GRI High/Low load factors</w:t>
            </w:r>
          </w:p>
        </w:tc>
        <w:tc>
          <w:tcPr>
            <w:tcW w:w="985" w:type="dxa"/>
            <w:tcBorders>
              <w:bottom w:val="single" w:sz="18" w:space="0" w:color="000000"/>
            </w:tcBorders>
          </w:tcPr>
          <w:p>
            <w:pPr>
              <w:pStyle w:val="Normal"/>
              <w:ind w:start="-180" w:end="0"/>
              <w:jc w:val="end"/>
              <w:rPr>
                <w:sz w:val="16"/>
              </w:rPr>
            </w:pPr>
            <w:r>
              <w:rPr>
                <w:sz w:val="16"/>
              </w:rPr>
              <w:t>Date:</w:t>
            </w:r>
          </w:p>
        </w:tc>
        <w:tc>
          <w:tcPr>
            <w:tcW w:w="2970" w:type="dxa"/>
            <w:gridSpan w:val="2"/>
            <w:tcBorders>
              <w:bottom w:val="single" w:sz="18" w:space="0" w:color="000000"/>
            </w:tcBorders>
          </w:tcPr>
          <w:p>
            <w:pPr>
              <w:pStyle w:val="Date"/>
              <w:rPr>
                <w:rFonts w:ascii="Courier New" w:hAnsi="Courier New" w:cs="Courier New"/>
              </w:rPr>
            </w:pPr>
            <w:r>
              <w:rPr>
                <w:rFonts w:cs="Courier New" w:ascii="Courier New" w:hAnsi="Courier New"/>
              </w:rPr>
              <w:t>January 3, 2001</w:t>
            </w:r>
          </w:p>
        </w:tc>
      </w:tr>
    </w:tbl>
    <w:p>
      <w:pPr>
        <w:pStyle w:val="Body"/>
        <w:rPr>
          <w:rFonts w:ascii="Courier New" w:hAnsi="Courier New" w:cs="Courier New"/>
        </w:rPr>
      </w:pPr>
      <w:r>
        <w:rPr>
          <w:rFonts w:cs="Courier New" w:ascii="Courier New" w:hAnsi="Courier New"/>
        </w:rPr>
      </w:r>
    </w:p>
    <w:p>
      <w:pPr>
        <w:pStyle w:val="Body"/>
        <w:rPr>
          <w:rFonts w:ascii="Courier New" w:hAnsi="Courier New" w:cs="Courier New"/>
        </w:rPr>
      </w:pPr>
      <w:r>
        <w:rPr>
          <w:rFonts w:cs="Courier New" w:ascii="Courier New" w:hAnsi="Courier New"/>
        </w:rPr>
      </w:r>
      <w:bookmarkStart w:id="3" w:name="StartOfMemo"/>
      <w:bookmarkStart w:id="4" w:name="StartOfMemo"/>
      <w:bookmarkEnd w:id="4"/>
    </w:p>
    <w:p>
      <w:pPr>
        <w:pStyle w:val="Department"/>
        <w:rPr>
          <w:rFonts w:ascii="Courier New" w:hAnsi="Courier New" w:cs="Courier New"/>
        </w:rPr>
      </w:pPr>
      <w:r>
        <w:rPr>
          <w:rFonts w:cs="Courier New" w:ascii="Courier New" w:hAnsi="Courier New"/>
        </w:rPr>
        <w:t>I have recalculated the GRI Load Factors to determine which customers qualify for the Low Load GRI Reservation exception rate in 2001.  Changes are noted below. Please inform your affected customers.  Northern does not file GRI Load Factors with the Commission.</w:t>
      </w:r>
    </w:p>
    <w:p>
      <w:pPr>
        <w:pStyle w:val="Department"/>
        <w:rPr>
          <w:rFonts w:ascii="Courier New" w:hAnsi="Courier New" w:cs="Courier New"/>
        </w:rPr>
      </w:pPr>
      <w:r>
        <w:rPr>
          <w:rFonts w:cs="Courier New" w:ascii="Courier New" w:hAnsi="Courier New"/>
        </w:rPr>
      </w:r>
    </w:p>
    <w:p>
      <w:pPr>
        <w:pStyle w:val="Department"/>
        <w:rPr>
          <w:rFonts w:ascii="Courier New" w:hAnsi="Courier New" w:cs="Courier New"/>
        </w:rPr>
      </w:pPr>
      <w:r>
        <w:rPr>
          <w:rFonts w:cs="Courier New" w:ascii="Courier New" w:hAnsi="Courier New"/>
        </w:rPr>
        <w:t xml:space="preserve">Calculations compare annualized entitlement at GRI points (MDQ times days in month) with GRI commodity volumes on all firm contracts for a Legal Entity for production months </w:t>
      </w:r>
    </w:p>
    <w:p>
      <w:pPr>
        <w:pStyle w:val="Department"/>
        <w:rPr>
          <w:rFonts w:ascii="Courier New" w:hAnsi="Courier New" w:cs="Courier New"/>
        </w:rPr>
      </w:pPr>
      <w:r>
        <w:rPr>
          <w:rFonts w:cs="Courier New" w:ascii="Courier New" w:hAnsi="Courier New"/>
        </w:rPr>
        <w:t>11/1999 - 10/2000.  Volume that flowed under released capacity is counted with the Releasing Shipper’s commodity volume as required by FERC.  The process does not calculate a GRI Load Factor for shippers that use only acquired capacity.</w:t>
      </w:r>
    </w:p>
    <w:p>
      <w:pPr>
        <w:pStyle w:val="Department"/>
        <w:rPr>
          <w:rFonts w:ascii="Courier New" w:hAnsi="Courier New" w:cs="Courier New"/>
        </w:rPr>
      </w:pPr>
      <w:r>
        <w:rPr>
          <w:rFonts w:cs="Courier New" w:ascii="Courier New" w:hAnsi="Courier New"/>
        </w:rPr>
      </w:r>
    </w:p>
    <w:p>
      <w:pPr>
        <w:pStyle w:val="Department"/>
        <w:rPr>
          <w:rFonts w:ascii="Courier New" w:hAnsi="Courier New" w:cs="Courier New"/>
        </w:rPr>
      </w:pPr>
      <w:r>
        <w:rPr>
          <w:rFonts w:cs="Courier New" w:ascii="Courier New" w:hAnsi="Courier New"/>
        </w:rPr>
        <w:t>The load factor calculation looks at entitlement or commodity that qualified for a GRI charge, regardless of whether or not the charge was discounted.  Customers can have a Load Factor exceeding 1.0 (100%) if they have capacity at non-GRI Primary Points (Demarc, Pools, Interconnects) but substantial deliveries to Alternate points where GRI applies.</w:t>
      </w:r>
    </w:p>
    <w:p>
      <w:pPr>
        <w:pStyle w:val="Department"/>
        <w:rPr>
          <w:rFonts w:ascii="Courier New" w:hAnsi="Courier New" w:cs="Courier New"/>
        </w:rPr>
      </w:pPr>
      <w:r>
        <w:rPr>
          <w:rFonts w:cs="Courier New" w:ascii="Courier New" w:hAnsi="Courier New"/>
        </w:rPr>
      </w:r>
    </w:p>
    <w:p>
      <w:pPr>
        <w:pStyle w:val="Department"/>
        <w:rPr>
          <w:rFonts w:ascii="Courier New" w:hAnsi="Courier New" w:cs="Courier New"/>
        </w:rPr>
      </w:pPr>
      <w:r>
        <w:rPr>
          <w:rFonts w:cs="Courier New" w:ascii="Courier New" w:hAnsi="Courier New"/>
        </w:rPr>
        <w:t>Since the process only considers GRI-applicable entitlement and flow, the GRI Load Factor is not the customer’s actual overall Load Factor for the year.</w:t>
      </w:r>
    </w:p>
    <w:p>
      <w:pPr>
        <w:pStyle w:val="Department"/>
        <w:rPr>
          <w:rFonts w:ascii="Courier New" w:hAnsi="Courier New" w:cs="Courier New"/>
        </w:rPr>
      </w:pPr>
      <w:r>
        <w:rPr>
          <w:rFonts w:cs="Courier New" w:ascii="Courier New" w:hAnsi="Courier New"/>
        </w:rPr>
      </w:r>
    </w:p>
    <w:p>
      <w:pPr>
        <w:pStyle w:val="Department"/>
        <w:rPr>
          <w:rFonts w:ascii="Courier New" w:hAnsi="Courier New" w:cs="Courier New"/>
        </w:rPr>
      </w:pPr>
      <w:r>
        <w:rPr>
          <w:rFonts w:cs="Courier New" w:ascii="Courier New" w:hAnsi="Courier New"/>
        </w:rPr>
        <w:t>The GRI rates changed, effective January 1, 2001.  NNG made a tariff filing to incorporate the new rates.</w:t>
      </w:r>
    </w:p>
    <w:p>
      <w:pPr>
        <w:pStyle w:val="Department"/>
        <w:rPr>
          <w:rFonts w:ascii="Courier New" w:hAnsi="Courier New" w:cs="Courier New"/>
        </w:rPr>
      </w:pPr>
      <w:r>
        <w:rPr>
          <w:rFonts w:cs="Courier New" w:ascii="Courier New" w:hAnsi="Courier New"/>
        </w:rPr>
        <w:t>$.090 high load (default) GRI Reservation monthly rate</w:t>
      </w:r>
    </w:p>
    <w:p>
      <w:pPr>
        <w:pStyle w:val="Department"/>
        <w:rPr>
          <w:rFonts w:ascii="Courier New" w:hAnsi="Courier New" w:cs="Courier New"/>
        </w:rPr>
      </w:pPr>
      <w:r>
        <w:rPr>
          <w:rFonts w:cs="Courier New" w:ascii="Courier New" w:hAnsi="Courier New"/>
        </w:rPr>
        <w:t>$.055 low load GRI Reservation monthly rate.</w:t>
      </w:r>
    </w:p>
    <w:p>
      <w:pPr>
        <w:pStyle w:val="Department"/>
        <w:rPr>
          <w:rFonts w:ascii="Courier New" w:hAnsi="Courier New" w:cs="Courier New"/>
        </w:rPr>
      </w:pPr>
      <w:r>
        <w:rPr>
          <w:rFonts w:cs="Courier New" w:ascii="Courier New" w:hAnsi="Courier New"/>
        </w:rPr>
        <w:t>$.007 Commodity GRI surcharge per mmbtu.</w:t>
      </w:r>
    </w:p>
    <w:p>
      <w:pPr>
        <w:pStyle w:val="Department"/>
        <w:rPr>
          <w:rFonts w:ascii="Courier New" w:hAnsi="Courier New" w:cs="Courier New"/>
        </w:rPr>
      </w:pPr>
      <w:r>
        <w:rPr>
          <w:rFonts w:cs="Courier New" w:ascii="Courier New" w:hAnsi="Courier New"/>
        </w:rPr>
      </w:r>
    </w:p>
    <w:p>
      <w:pPr>
        <w:pStyle w:val="Department"/>
        <w:rPr>
          <w:rFonts w:ascii="Courier New" w:hAnsi="Courier New" w:cs="Courier New"/>
        </w:rPr>
      </w:pPr>
      <w:r>
        <w:rPr>
          <w:rFonts w:cs="Courier New" w:ascii="Courier New" w:hAnsi="Courier New"/>
        </w:rPr>
        <w:t>A list of GRI Load factors by customer is attached.  “Low Load” Legal Entities will have a Tariff Exception in TRS setting the GRI Reservation (GRR) rate to $.055/month rather than the default high load rate for 2001.  The Exception affects all current and future firm contracts tied to the Legal Entity.  Customers with no GRI Primary Points in the past year are not in the report.  They will pay the default high load rate if they add GRI capacity during the year.</w:t>
      </w:r>
    </w:p>
    <w:p>
      <w:pPr>
        <w:pStyle w:val="Department"/>
        <w:rPr>
          <w:rFonts w:ascii="Courier New" w:hAnsi="Courier New" w:cs="Courier New"/>
        </w:rPr>
      </w:pPr>
      <w:r>
        <w:rPr>
          <w:rFonts w:cs="Courier New" w:ascii="Courier New" w:hAnsi="Courier New"/>
        </w:rPr>
      </w:r>
    </w:p>
    <w:p>
      <w:pPr>
        <w:pStyle w:val="Department"/>
        <w:rPr>
          <w:rFonts w:ascii="Courier New" w:hAnsi="Courier New" w:cs="Courier New"/>
        </w:rPr>
      </w:pPr>
      <w:r>
        <w:rPr>
          <w:rFonts w:cs="Courier New" w:ascii="Courier New" w:hAnsi="Courier New"/>
        </w:rPr>
      </w:r>
    </w:p>
    <w:p>
      <w:pPr>
        <w:pStyle w:val="Department"/>
        <w:rPr>
          <w:rFonts w:ascii="Courier New" w:hAnsi="Courier New" w:cs="Courier New"/>
        </w:rPr>
      </w:pPr>
      <w:r>
        <w:rPr>
          <w:rFonts w:cs="Courier New" w:ascii="Courier New" w:hAnsi="Courier New"/>
        </w:rPr>
        <w:t>Cc:</w:t>
        <w:tab/>
        <w:t>Mary Darveaux</w:t>
        <w:br/>
        <w:tab/>
        <w:t>Ranelle Paladino</w:t>
        <w:br/>
        <w:tab/>
        <w:t>Glen Hass</w:t>
      </w:r>
    </w:p>
    <w:p>
      <w:pPr>
        <w:pStyle w:val="Department"/>
        <w:rPr>
          <w:rFonts w:ascii="Courier New" w:hAnsi="Courier New" w:cs="Courier New"/>
        </w:rPr>
      </w:pPr>
      <w:r>
        <w:rPr>
          <w:rFonts w:cs="Courier New" w:ascii="Courier New" w:hAnsi="Courier New"/>
        </w:rPr>
        <w:tab/>
        <w:t>John Fiscus</w:t>
      </w:r>
    </w:p>
    <w:p>
      <w:pPr>
        <w:pStyle w:val="Department"/>
        <w:rPr>
          <w:rFonts w:ascii="Courier New" w:hAnsi="Courier New" w:cs="Courier New"/>
        </w:rPr>
      </w:pPr>
      <w:r>
        <w:rPr>
          <w:rFonts w:eastAsia="Courier New" w:cs="Courier New" w:ascii="Courier New" w:hAnsi="Courier New"/>
        </w:rPr>
        <w:t xml:space="preserve">      </w:t>
      </w:r>
      <w:r>
        <w:rPr>
          <w:rFonts w:cs="Courier New" w:ascii="Courier New" w:hAnsi="Courier New"/>
        </w:rPr>
        <w:t>John Williams</w:t>
      </w:r>
    </w:p>
    <w:p>
      <w:pPr>
        <w:pStyle w:val="Department"/>
        <w:rPr>
          <w:rFonts w:ascii="Courier New" w:hAnsi="Courier New" w:cs="Courier New"/>
        </w:rPr>
      </w:pPr>
      <w:r>
        <w:rPr>
          <w:rFonts w:cs="Courier New" w:ascii="Courier New" w:hAnsi="Courier New"/>
        </w:rPr>
        <w:tab/>
        <w:t>Raetta Zadow</w:t>
      </w:r>
      <w:r>
        <w:br w:type="page"/>
      </w:r>
    </w:p>
    <w:p>
      <w:pPr>
        <w:pStyle w:val="Department"/>
        <w:rPr>
          <w:rFonts w:ascii="Courier New" w:hAnsi="Courier New" w:cs="Courier New"/>
        </w:rPr>
      </w:pPr>
      <w:r>
        <w:rPr>
          <w:rFonts w:cs="Courier New" w:ascii="Courier New" w:hAnsi="Courier New"/>
        </w:rPr>
      </w:r>
    </w:p>
    <w:p>
      <w:pPr>
        <w:pStyle w:val="Department"/>
        <w:rPr>
          <w:rFonts w:ascii="Courier New" w:hAnsi="Courier New" w:cs="Courier New"/>
          <w:b/>
        </w:rPr>
      </w:pPr>
      <w:r>
        <w:rPr>
          <w:rFonts w:cs="Courier New" w:ascii="Courier New" w:hAnsi="Courier New"/>
          <w:b/>
        </w:rPr>
        <w:t>Effective 1/1/2001, the following shippers move from High Load to Low Load.  The Reservation GRI rate on firm contracts for these shippers will decrease.</w:t>
      </w:r>
    </w:p>
    <w:p>
      <w:pPr>
        <w:pStyle w:val="Department"/>
        <w:rPr>
          <w:rFonts w:ascii="Courier New" w:hAnsi="Courier New" w:cs="Courier New"/>
          <w:b/>
        </w:rPr>
      </w:pPr>
      <w:r>
        <w:rPr>
          <w:rFonts w:cs="Courier New" w:ascii="Courier New" w:hAnsi="Courier New"/>
          <w:b/>
        </w:rPr>
      </w:r>
    </w:p>
    <w:p>
      <w:pPr>
        <w:pStyle w:val="Department"/>
        <w:rPr>
          <w:rFonts w:ascii="Courier New" w:hAnsi="Courier New" w:cs="Courier New"/>
        </w:rPr>
      </w:pPr>
      <w:r>
        <w:rPr>
          <w:rFonts w:cs="Courier New" w:ascii="Courier New" w:hAnsi="Courier New"/>
        </w:rPr>
        <w:t>Some of these shippers may revert to High Load next year, particularly if the heating season continues colder than last year.</w:t>
      </w:r>
    </w:p>
    <w:p>
      <w:pPr>
        <w:pStyle w:val="Department"/>
        <w:rPr>
          <w:rFonts w:ascii="Courier New" w:hAnsi="Courier New" w:cs="Courier New"/>
        </w:rPr>
      </w:pPr>
      <w:r>
        <w:rPr>
          <w:rFonts w:cs="Courier New" w:ascii="Courier New" w:hAnsi="Courier New"/>
        </w:rPr>
      </w:r>
    </w:p>
    <w:tbl>
      <w:tblPr>
        <w:tblW w:w="7398" w:type="dxa"/>
        <w:jc w:val="start"/>
        <w:tblInd w:w="0" w:type="dxa"/>
        <w:tblLayout w:type="fixed"/>
        <w:tblCellMar>
          <w:top w:w="0" w:type="dxa"/>
          <w:start w:w="108" w:type="dxa"/>
          <w:bottom w:w="0" w:type="dxa"/>
          <w:end w:w="108" w:type="dxa"/>
        </w:tblCellMar>
      </w:tblPr>
      <w:tblGrid>
        <w:gridCol w:w="1278"/>
        <w:gridCol w:w="6120"/>
      </w:tblGrid>
      <w:tr>
        <w:trPr/>
        <w:tc>
          <w:tcPr>
            <w:tcW w:w="1278" w:type="dxa"/>
            <w:tcBorders/>
          </w:tcPr>
          <w:p>
            <w:pPr>
              <w:pStyle w:val="Department"/>
              <w:rPr>
                <w:rFonts w:ascii="Courier New" w:hAnsi="Courier New" w:cs="Courier New"/>
                <w:i/>
                <w:i/>
              </w:rPr>
            </w:pPr>
            <w:r>
              <w:rPr>
                <w:rFonts w:cs="Courier New" w:ascii="Courier New" w:hAnsi="Courier New"/>
                <w:i/>
              </w:rPr>
              <w:t>Legal Entity</w:t>
            </w:r>
          </w:p>
        </w:tc>
        <w:tc>
          <w:tcPr>
            <w:tcW w:w="6120" w:type="dxa"/>
            <w:tcBorders/>
          </w:tcPr>
          <w:p>
            <w:pPr>
              <w:pStyle w:val="Department"/>
              <w:rPr>
                <w:rFonts w:ascii="Courier New" w:hAnsi="Courier New" w:cs="Courier New"/>
                <w:i/>
                <w:i/>
              </w:rPr>
            </w:pPr>
            <w:r>
              <w:rPr>
                <w:rFonts w:cs="Courier New" w:ascii="Courier New" w:hAnsi="Courier New"/>
                <w:i/>
              </w:rPr>
              <w:t>Shipper</w:t>
            </w:r>
          </w:p>
        </w:tc>
      </w:tr>
      <w:tr>
        <w:trPr/>
        <w:tc>
          <w:tcPr>
            <w:tcW w:w="1278" w:type="dxa"/>
            <w:tcBorders/>
          </w:tcPr>
          <w:p>
            <w:pPr>
              <w:pStyle w:val="Department"/>
              <w:rPr>
                <w:rFonts w:ascii="Courier New" w:hAnsi="Courier New" w:cs="Courier New"/>
              </w:rPr>
            </w:pPr>
            <w:r>
              <w:rPr>
                <w:rFonts w:cs="Courier New" w:ascii="Courier New" w:hAnsi="Courier New"/>
              </w:rPr>
              <w:t>1062</w:t>
            </w:r>
          </w:p>
        </w:tc>
        <w:tc>
          <w:tcPr>
            <w:tcW w:w="6120" w:type="dxa"/>
            <w:tcBorders/>
          </w:tcPr>
          <w:p>
            <w:pPr>
              <w:pStyle w:val="Department"/>
              <w:rPr>
                <w:rFonts w:ascii="Courier New" w:hAnsi="Courier New" w:cs="Courier New"/>
              </w:rPr>
            </w:pPr>
            <w:r>
              <w:rPr>
                <w:rFonts w:cs="Courier New" w:ascii="Courier New" w:hAnsi="Courier New"/>
              </w:rPr>
              <w:t>Apache Corporation</w:t>
            </w:r>
          </w:p>
        </w:tc>
      </w:tr>
      <w:tr>
        <w:trPr/>
        <w:tc>
          <w:tcPr>
            <w:tcW w:w="1278" w:type="dxa"/>
            <w:tcBorders/>
          </w:tcPr>
          <w:p>
            <w:pPr>
              <w:pStyle w:val="Department"/>
              <w:rPr>
                <w:rFonts w:ascii="Courier New" w:hAnsi="Courier New" w:cs="Courier New"/>
              </w:rPr>
            </w:pPr>
            <w:r>
              <w:rPr>
                <w:rFonts w:cs="Courier New" w:ascii="Courier New" w:hAnsi="Courier New"/>
              </w:rPr>
              <w:t>391</w:t>
            </w:r>
          </w:p>
        </w:tc>
        <w:tc>
          <w:tcPr>
            <w:tcW w:w="6120" w:type="dxa"/>
            <w:tcBorders/>
          </w:tcPr>
          <w:p>
            <w:pPr>
              <w:pStyle w:val="Department"/>
              <w:rPr>
                <w:rFonts w:ascii="Courier New" w:hAnsi="Courier New" w:cs="Courier New"/>
              </w:rPr>
            </w:pPr>
            <w:r>
              <w:rPr>
                <w:rFonts w:cs="Courier New" w:ascii="Courier New" w:hAnsi="Courier New"/>
              </w:rPr>
              <w:t>Cedar Falls Utlities</w:t>
            </w:r>
          </w:p>
        </w:tc>
      </w:tr>
      <w:tr>
        <w:trPr/>
        <w:tc>
          <w:tcPr>
            <w:tcW w:w="1278" w:type="dxa"/>
            <w:tcBorders/>
          </w:tcPr>
          <w:p>
            <w:pPr>
              <w:pStyle w:val="Department"/>
              <w:rPr>
                <w:rFonts w:ascii="Courier New" w:hAnsi="Courier New" w:cs="Courier New"/>
              </w:rPr>
            </w:pPr>
            <w:r>
              <w:rPr>
                <w:rFonts w:cs="Courier New" w:ascii="Courier New" w:hAnsi="Courier New"/>
              </w:rPr>
              <w:t>344</w:t>
            </w:r>
          </w:p>
        </w:tc>
        <w:tc>
          <w:tcPr>
            <w:tcW w:w="6120" w:type="dxa"/>
            <w:tcBorders/>
          </w:tcPr>
          <w:p>
            <w:pPr>
              <w:pStyle w:val="Department"/>
              <w:rPr>
                <w:rFonts w:ascii="Courier New" w:hAnsi="Courier New" w:cs="Courier New"/>
              </w:rPr>
            </w:pPr>
            <w:r>
              <w:rPr>
                <w:rFonts w:cs="Courier New" w:ascii="Courier New" w:hAnsi="Courier New"/>
              </w:rPr>
              <w:t>City of Duluth</w:t>
            </w:r>
          </w:p>
        </w:tc>
      </w:tr>
      <w:tr>
        <w:trPr/>
        <w:tc>
          <w:tcPr>
            <w:tcW w:w="1278" w:type="dxa"/>
            <w:tcBorders/>
          </w:tcPr>
          <w:p>
            <w:pPr>
              <w:pStyle w:val="Department"/>
              <w:rPr>
                <w:rFonts w:ascii="Courier New" w:hAnsi="Courier New" w:cs="Courier New"/>
              </w:rPr>
            </w:pPr>
            <w:r>
              <w:rPr>
                <w:rFonts w:cs="Courier New" w:ascii="Courier New" w:hAnsi="Courier New"/>
              </w:rPr>
              <w:t>8720</w:t>
            </w:r>
          </w:p>
        </w:tc>
        <w:tc>
          <w:tcPr>
            <w:tcW w:w="6120" w:type="dxa"/>
            <w:tcBorders/>
          </w:tcPr>
          <w:p>
            <w:pPr>
              <w:pStyle w:val="Department"/>
              <w:rPr>
                <w:rFonts w:ascii="Courier New" w:hAnsi="Courier New" w:cs="Courier New"/>
              </w:rPr>
            </w:pPr>
            <w:r>
              <w:rPr>
                <w:rFonts w:cs="Courier New" w:ascii="Courier New" w:hAnsi="Courier New"/>
              </w:rPr>
              <w:t>City of Fairbank</w:t>
            </w:r>
          </w:p>
        </w:tc>
      </w:tr>
      <w:tr>
        <w:trPr/>
        <w:tc>
          <w:tcPr>
            <w:tcW w:w="1278" w:type="dxa"/>
            <w:tcBorders/>
          </w:tcPr>
          <w:p>
            <w:pPr>
              <w:pStyle w:val="Department"/>
              <w:rPr>
                <w:rFonts w:ascii="Courier New" w:hAnsi="Courier New" w:cs="Courier New"/>
              </w:rPr>
            </w:pPr>
            <w:r>
              <w:rPr>
                <w:rFonts w:cs="Courier New" w:ascii="Courier New" w:hAnsi="Courier New"/>
              </w:rPr>
              <w:t>3085</w:t>
            </w:r>
          </w:p>
        </w:tc>
        <w:tc>
          <w:tcPr>
            <w:tcW w:w="6120" w:type="dxa"/>
            <w:tcBorders/>
          </w:tcPr>
          <w:p>
            <w:pPr>
              <w:pStyle w:val="Department"/>
              <w:rPr>
                <w:rFonts w:ascii="Courier New" w:hAnsi="Courier New" w:cs="Courier New"/>
              </w:rPr>
            </w:pPr>
            <w:r>
              <w:rPr>
                <w:rFonts w:cs="Courier New" w:ascii="Courier New" w:hAnsi="Courier New"/>
              </w:rPr>
              <w:t>City of Ponca, NE</w:t>
            </w:r>
          </w:p>
        </w:tc>
      </w:tr>
      <w:tr>
        <w:trPr/>
        <w:tc>
          <w:tcPr>
            <w:tcW w:w="1278" w:type="dxa"/>
            <w:tcBorders/>
          </w:tcPr>
          <w:p>
            <w:pPr>
              <w:pStyle w:val="Department"/>
              <w:rPr>
                <w:rFonts w:ascii="Courier New" w:hAnsi="Courier New" w:cs="Courier New"/>
              </w:rPr>
            </w:pPr>
            <w:r>
              <w:rPr>
                <w:rFonts w:cs="Courier New" w:ascii="Courier New" w:hAnsi="Courier New"/>
              </w:rPr>
              <w:t>649</w:t>
            </w:r>
          </w:p>
        </w:tc>
        <w:tc>
          <w:tcPr>
            <w:tcW w:w="6120" w:type="dxa"/>
            <w:tcBorders/>
          </w:tcPr>
          <w:p>
            <w:pPr>
              <w:pStyle w:val="Department"/>
              <w:rPr>
                <w:rFonts w:ascii="Courier New" w:hAnsi="Courier New" w:cs="Courier New"/>
              </w:rPr>
            </w:pPr>
            <w:r>
              <w:rPr>
                <w:rFonts w:cs="Courier New" w:ascii="Courier New" w:hAnsi="Courier New"/>
              </w:rPr>
              <w:t>City of Virginia, MN</w:t>
            </w:r>
          </w:p>
        </w:tc>
      </w:tr>
      <w:tr>
        <w:trPr/>
        <w:tc>
          <w:tcPr>
            <w:tcW w:w="1278" w:type="dxa"/>
            <w:tcBorders/>
          </w:tcPr>
          <w:p>
            <w:pPr>
              <w:pStyle w:val="Department"/>
              <w:rPr>
                <w:rFonts w:ascii="Courier New" w:hAnsi="Courier New" w:cs="Courier New"/>
              </w:rPr>
            </w:pPr>
            <w:r>
              <w:rPr>
                <w:rFonts w:cs="Courier New" w:ascii="Courier New" w:hAnsi="Courier New"/>
              </w:rPr>
              <w:t>12588</w:t>
            </w:r>
          </w:p>
        </w:tc>
        <w:tc>
          <w:tcPr>
            <w:tcW w:w="6120" w:type="dxa"/>
            <w:tcBorders/>
          </w:tcPr>
          <w:p>
            <w:pPr>
              <w:pStyle w:val="Department"/>
              <w:rPr>
                <w:rFonts w:ascii="Courier New" w:hAnsi="Courier New" w:cs="Courier New"/>
              </w:rPr>
            </w:pPr>
            <w:r>
              <w:rPr>
                <w:rFonts w:cs="Courier New" w:ascii="Courier New" w:hAnsi="Courier New"/>
              </w:rPr>
              <w:t>City of Wahoo</w:t>
            </w:r>
          </w:p>
        </w:tc>
      </w:tr>
      <w:tr>
        <w:trPr/>
        <w:tc>
          <w:tcPr>
            <w:tcW w:w="1278" w:type="dxa"/>
            <w:tcBorders/>
          </w:tcPr>
          <w:p>
            <w:pPr>
              <w:pStyle w:val="Department"/>
              <w:rPr>
                <w:rFonts w:ascii="Courier New" w:hAnsi="Courier New" w:cs="Courier New"/>
              </w:rPr>
            </w:pPr>
            <w:r>
              <w:rPr>
                <w:rFonts w:cs="Courier New" w:ascii="Courier New" w:hAnsi="Courier New"/>
              </w:rPr>
              <w:t>380</w:t>
            </w:r>
          </w:p>
        </w:tc>
        <w:tc>
          <w:tcPr>
            <w:tcW w:w="6120" w:type="dxa"/>
            <w:tcBorders/>
          </w:tcPr>
          <w:p>
            <w:pPr>
              <w:pStyle w:val="Department"/>
              <w:rPr>
                <w:rFonts w:ascii="Courier New" w:hAnsi="Courier New" w:cs="Courier New"/>
              </w:rPr>
            </w:pPr>
            <w:r>
              <w:rPr>
                <w:rFonts w:cs="Courier New" w:ascii="Courier New" w:hAnsi="Courier New"/>
              </w:rPr>
              <w:t>CMS Continental Natural Gas Inc.</w:t>
            </w:r>
          </w:p>
        </w:tc>
      </w:tr>
      <w:tr>
        <w:trPr/>
        <w:tc>
          <w:tcPr>
            <w:tcW w:w="1278" w:type="dxa"/>
            <w:tcBorders/>
          </w:tcPr>
          <w:p>
            <w:pPr>
              <w:pStyle w:val="Department"/>
              <w:rPr>
                <w:rFonts w:ascii="Courier New" w:hAnsi="Courier New" w:cs="Courier New"/>
              </w:rPr>
            </w:pPr>
            <w:r>
              <w:rPr>
                <w:rFonts w:cs="Courier New" w:ascii="Courier New" w:hAnsi="Courier New"/>
              </w:rPr>
              <w:t>330</w:t>
            </w:r>
          </w:p>
        </w:tc>
        <w:tc>
          <w:tcPr>
            <w:tcW w:w="6120" w:type="dxa"/>
            <w:tcBorders/>
          </w:tcPr>
          <w:p>
            <w:pPr>
              <w:pStyle w:val="Department"/>
              <w:rPr>
                <w:rFonts w:ascii="Courier New" w:hAnsi="Courier New" w:cs="Courier New"/>
              </w:rPr>
            </w:pPr>
            <w:r>
              <w:rPr>
                <w:rFonts w:cs="Courier New" w:ascii="Courier New" w:hAnsi="Courier New"/>
              </w:rPr>
              <w:t>Enron North America Corp. (FKA ECT)</w:t>
            </w:r>
          </w:p>
        </w:tc>
      </w:tr>
      <w:tr>
        <w:trPr/>
        <w:tc>
          <w:tcPr>
            <w:tcW w:w="1278" w:type="dxa"/>
            <w:tcBorders/>
          </w:tcPr>
          <w:p>
            <w:pPr>
              <w:pStyle w:val="Department"/>
              <w:rPr>
                <w:rFonts w:ascii="Courier New" w:hAnsi="Courier New" w:cs="Courier New"/>
              </w:rPr>
            </w:pPr>
            <w:r>
              <w:rPr>
                <w:rFonts w:cs="Courier New" w:ascii="Courier New" w:hAnsi="Courier New"/>
              </w:rPr>
              <w:t>4067</w:t>
            </w:r>
          </w:p>
        </w:tc>
        <w:tc>
          <w:tcPr>
            <w:tcW w:w="6120" w:type="dxa"/>
            <w:tcBorders/>
          </w:tcPr>
          <w:p>
            <w:pPr>
              <w:pStyle w:val="Department"/>
              <w:rPr>
                <w:rFonts w:ascii="Courier New" w:hAnsi="Courier New" w:cs="Courier New"/>
              </w:rPr>
            </w:pPr>
            <w:r>
              <w:rPr>
                <w:rFonts w:cs="Courier New" w:ascii="Courier New" w:hAnsi="Courier New"/>
              </w:rPr>
              <w:t>Enron Oil &amp; Gas Marketing</w:t>
            </w:r>
          </w:p>
        </w:tc>
      </w:tr>
      <w:tr>
        <w:trPr/>
        <w:tc>
          <w:tcPr>
            <w:tcW w:w="1278" w:type="dxa"/>
            <w:tcBorders/>
          </w:tcPr>
          <w:p>
            <w:pPr>
              <w:pStyle w:val="Department"/>
              <w:rPr>
                <w:rFonts w:ascii="Courier New" w:hAnsi="Courier New" w:cs="Courier New"/>
              </w:rPr>
            </w:pPr>
            <w:r>
              <w:rPr>
                <w:rFonts w:cs="Courier New" w:ascii="Courier New" w:hAnsi="Courier New"/>
              </w:rPr>
              <w:t xml:space="preserve">11718 </w:t>
            </w:r>
          </w:p>
        </w:tc>
        <w:tc>
          <w:tcPr>
            <w:tcW w:w="6120" w:type="dxa"/>
            <w:tcBorders/>
          </w:tcPr>
          <w:p>
            <w:pPr>
              <w:pStyle w:val="Department"/>
              <w:rPr>
                <w:rFonts w:ascii="Courier New" w:hAnsi="Courier New" w:cs="Courier New"/>
              </w:rPr>
            </w:pPr>
            <w:r>
              <w:rPr>
                <w:rFonts w:cs="Courier New" w:ascii="Courier New" w:hAnsi="Courier New"/>
              </w:rPr>
              <w:t>Evelyth Mines</w:t>
            </w:r>
          </w:p>
        </w:tc>
      </w:tr>
      <w:tr>
        <w:trPr/>
        <w:tc>
          <w:tcPr>
            <w:tcW w:w="1278" w:type="dxa"/>
            <w:tcBorders/>
          </w:tcPr>
          <w:p>
            <w:pPr>
              <w:pStyle w:val="Department"/>
              <w:rPr>
                <w:rFonts w:ascii="Courier New" w:hAnsi="Courier New" w:cs="Courier New"/>
              </w:rPr>
            </w:pPr>
            <w:r>
              <w:rPr>
                <w:rFonts w:cs="Courier New" w:ascii="Courier New" w:hAnsi="Courier New"/>
              </w:rPr>
              <w:t>776</w:t>
            </w:r>
          </w:p>
        </w:tc>
        <w:tc>
          <w:tcPr>
            <w:tcW w:w="6120" w:type="dxa"/>
            <w:tcBorders/>
          </w:tcPr>
          <w:p>
            <w:pPr>
              <w:pStyle w:val="Department"/>
              <w:rPr>
                <w:rFonts w:ascii="Courier New" w:hAnsi="Courier New" w:cs="Courier New"/>
              </w:rPr>
            </w:pPr>
            <w:r>
              <w:rPr>
                <w:rFonts w:cs="Courier New" w:ascii="Courier New" w:hAnsi="Courier New"/>
              </w:rPr>
              <w:t>Graettinger Municipal Gas</w:t>
            </w:r>
          </w:p>
        </w:tc>
      </w:tr>
      <w:tr>
        <w:trPr/>
        <w:tc>
          <w:tcPr>
            <w:tcW w:w="1278" w:type="dxa"/>
            <w:tcBorders/>
          </w:tcPr>
          <w:p>
            <w:pPr>
              <w:pStyle w:val="Department"/>
              <w:rPr>
                <w:rFonts w:ascii="Courier New" w:hAnsi="Courier New" w:cs="Courier New"/>
              </w:rPr>
            </w:pPr>
            <w:r>
              <w:rPr>
                <w:rFonts w:cs="Courier New" w:ascii="Courier New" w:hAnsi="Courier New"/>
              </w:rPr>
              <w:t>11628</w:t>
            </w:r>
          </w:p>
        </w:tc>
        <w:tc>
          <w:tcPr>
            <w:tcW w:w="6120" w:type="dxa"/>
            <w:tcBorders/>
          </w:tcPr>
          <w:p>
            <w:pPr>
              <w:pStyle w:val="Department"/>
              <w:rPr>
                <w:rFonts w:ascii="Courier New" w:hAnsi="Courier New" w:cs="Courier New"/>
              </w:rPr>
            </w:pPr>
            <w:r>
              <w:rPr>
                <w:rFonts w:cs="Courier New" w:ascii="Courier New" w:hAnsi="Courier New"/>
              </w:rPr>
              <w:t>Greater Minnesota Gas, Inc.</w:t>
            </w:r>
          </w:p>
        </w:tc>
      </w:tr>
      <w:tr>
        <w:trPr/>
        <w:tc>
          <w:tcPr>
            <w:tcW w:w="1278" w:type="dxa"/>
            <w:tcBorders/>
          </w:tcPr>
          <w:p>
            <w:pPr>
              <w:pStyle w:val="Department"/>
              <w:rPr>
                <w:rFonts w:ascii="Courier New" w:hAnsi="Courier New" w:cs="Courier New"/>
              </w:rPr>
            </w:pPr>
            <w:r>
              <w:rPr>
                <w:rFonts w:cs="Courier New" w:ascii="Courier New" w:hAnsi="Courier New"/>
              </w:rPr>
              <w:t>13232</w:t>
            </w:r>
          </w:p>
        </w:tc>
        <w:tc>
          <w:tcPr>
            <w:tcW w:w="6120" w:type="dxa"/>
            <w:tcBorders/>
          </w:tcPr>
          <w:p>
            <w:pPr>
              <w:pStyle w:val="Department"/>
              <w:rPr>
                <w:rFonts w:ascii="Courier New" w:hAnsi="Courier New" w:cs="Courier New"/>
              </w:rPr>
            </w:pPr>
            <w:r>
              <w:rPr>
                <w:rFonts w:cs="Courier New" w:ascii="Courier New" w:hAnsi="Courier New"/>
              </w:rPr>
              <w:t>Hawkeye Leisure Trailers, Ltd.</w:t>
            </w:r>
          </w:p>
        </w:tc>
      </w:tr>
      <w:tr>
        <w:trPr/>
        <w:tc>
          <w:tcPr>
            <w:tcW w:w="1278" w:type="dxa"/>
            <w:tcBorders/>
          </w:tcPr>
          <w:p>
            <w:pPr>
              <w:pStyle w:val="Department"/>
              <w:rPr>
                <w:rFonts w:ascii="Courier New" w:hAnsi="Courier New" w:cs="Courier New"/>
              </w:rPr>
            </w:pPr>
            <w:r>
              <w:rPr>
                <w:rFonts w:cs="Courier New" w:ascii="Courier New" w:hAnsi="Courier New"/>
              </w:rPr>
              <w:t>286</w:t>
            </w:r>
          </w:p>
        </w:tc>
        <w:tc>
          <w:tcPr>
            <w:tcW w:w="6120" w:type="dxa"/>
            <w:tcBorders/>
          </w:tcPr>
          <w:p>
            <w:pPr>
              <w:pStyle w:val="Department"/>
              <w:rPr>
                <w:rFonts w:ascii="Courier New" w:hAnsi="Courier New" w:cs="Courier New"/>
              </w:rPr>
            </w:pPr>
            <w:r>
              <w:rPr>
                <w:rFonts w:cs="Courier New" w:ascii="Courier New" w:hAnsi="Courier New"/>
              </w:rPr>
              <w:t>IES Industries</w:t>
            </w:r>
          </w:p>
        </w:tc>
      </w:tr>
      <w:tr>
        <w:trPr/>
        <w:tc>
          <w:tcPr>
            <w:tcW w:w="1278" w:type="dxa"/>
            <w:tcBorders/>
          </w:tcPr>
          <w:p>
            <w:pPr>
              <w:pStyle w:val="Department"/>
              <w:rPr>
                <w:rFonts w:ascii="Courier New" w:hAnsi="Courier New" w:cs="Courier New"/>
              </w:rPr>
            </w:pPr>
            <w:r>
              <w:rPr>
                <w:rFonts w:cs="Courier New" w:ascii="Courier New" w:hAnsi="Courier New"/>
              </w:rPr>
              <w:t>11918</w:t>
            </w:r>
          </w:p>
        </w:tc>
        <w:tc>
          <w:tcPr>
            <w:tcW w:w="6120" w:type="dxa"/>
            <w:tcBorders/>
          </w:tcPr>
          <w:p>
            <w:pPr>
              <w:pStyle w:val="Department"/>
              <w:rPr>
                <w:rFonts w:ascii="Courier New" w:hAnsi="Courier New" w:cs="Courier New"/>
              </w:rPr>
            </w:pPr>
            <w:r>
              <w:rPr>
                <w:rFonts w:cs="Courier New" w:ascii="Courier New" w:hAnsi="Courier New"/>
              </w:rPr>
              <w:t>Lamar Power Partners, LP.</w:t>
            </w:r>
          </w:p>
        </w:tc>
      </w:tr>
      <w:tr>
        <w:trPr/>
        <w:tc>
          <w:tcPr>
            <w:tcW w:w="1278" w:type="dxa"/>
            <w:tcBorders/>
          </w:tcPr>
          <w:p>
            <w:pPr>
              <w:pStyle w:val="Department"/>
              <w:rPr>
                <w:rFonts w:ascii="Courier New" w:hAnsi="Courier New" w:cs="Courier New"/>
              </w:rPr>
            </w:pPr>
            <w:r>
              <w:rPr>
                <w:rFonts w:cs="Courier New" w:ascii="Courier New" w:hAnsi="Courier New"/>
              </w:rPr>
              <w:t>392</w:t>
            </w:r>
          </w:p>
        </w:tc>
        <w:tc>
          <w:tcPr>
            <w:tcW w:w="6120" w:type="dxa"/>
            <w:tcBorders/>
          </w:tcPr>
          <w:p>
            <w:pPr>
              <w:pStyle w:val="Department"/>
              <w:rPr>
                <w:rFonts w:ascii="Courier New" w:hAnsi="Courier New" w:cs="Courier New"/>
              </w:rPr>
            </w:pPr>
            <w:r>
              <w:rPr>
                <w:rFonts w:cs="Courier New" w:ascii="Courier New" w:hAnsi="Courier New"/>
              </w:rPr>
              <w:t>MidAmerican Energy Company</w:t>
            </w:r>
          </w:p>
        </w:tc>
      </w:tr>
      <w:tr>
        <w:trPr/>
        <w:tc>
          <w:tcPr>
            <w:tcW w:w="1278" w:type="dxa"/>
            <w:tcBorders/>
          </w:tcPr>
          <w:p>
            <w:pPr>
              <w:pStyle w:val="Department"/>
              <w:rPr>
                <w:rFonts w:ascii="Courier New" w:hAnsi="Courier New" w:cs="Courier New"/>
              </w:rPr>
            </w:pPr>
            <w:r>
              <w:rPr>
                <w:rFonts w:cs="Courier New" w:ascii="Courier New" w:hAnsi="Courier New"/>
              </w:rPr>
              <w:t>11762</w:t>
            </w:r>
          </w:p>
        </w:tc>
        <w:tc>
          <w:tcPr>
            <w:tcW w:w="6120" w:type="dxa"/>
            <w:tcBorders/>
          </w:tcPr>
          <w:p>
            <w:pPr>
              <w:pStyle w:val="Department"/>
              <w:rPr>
                <w:rFonts w:ascii="Courier New" w:hAnsi="Courier New" w:cs="Courier New"/>
              </w:rPr>
            </w:pPr>
            <w:r>
              <w:rPr>
                <w:rFonts w:cs="Courier New" w:ascii="Courier New" w:hAnsi="Courier New"/>
              </w:rPr>
              <w:t>Northwestern Energy Corporation</w:t>
            </w:r>
          </w:p>
        </w:tc>
      </w:tr>
      <w:tr>
        <w:trPr/>
        <w:tc>
          <w:tcPr>
            <w:tcW w:w="1278" w:type="dxa"/>
            <w:tcBorders/>
          </w:tcPr>
          <w:p>
            <w:pPr>
              <w:pStyle w:val="Department"/>
              <w:rPr>
                <w:rFonts w:ascii="Courier New" w:hAnsi="Courier New" w:cs="Courier New"/>
              </w:rPr>
            </w:pPr>
            <w:r>
              <w:rPr>
                <w:rFonts w:cs="Courier New" w:ascii="Courier New" w:hAnsi="Courier New"/>
              </w:rPr>
              <w:t>7726</w:t>
            </w:r>
          </w:p>
        </w:tc>
        <w:tc>
          <w:tcPr>
            <w:tcW w:w="6120" w:type="dxa"/>
            <w:tcBorders/>
          </w:tcPr>
          <w:p>
            <w:pPr>
              <w:pStyle w:val="Department"/>
              <w:rPr>
                <w:rFonts w:ascii="Courier New" w:hAnsi="Courier New" w:cs="Courier New"/>
              </w:rPr>
            </w:pPr>
            <w:r>
              <w:rPr>
                <w:rFonts w:cs="Courier New" w:ascii="Courier New" w:hAnsi="Courier New"/>
              </w:rPr>
              <w:t>PanCandian Energy Services L.P.</w:t>
            </w:r>
          </w:p>
        </w:tc>
      </w:tr>
      <w:tr>
        <w:trPr/>
        <w:tc>
          <w:tcPr>
            <w:tcW w:w="1278" w:type="dxa"/>
            <w:tcBorders/>
          </w:tcPr>
          <w:p>
            <w:pPr>
              <w:pStyle w:val="Department"/>
              <w:rPr>
                <w:rFonts w:ascii="Courier New" w:hAnsi="Courier New" w:cs="Courier New"/>
              </w:rPr>
            </w:pPr>
            <w:r>
              <w:rPr>
                <w:rFonts w:cs="Courier New" w:ascii="Courier New" w:hAnsi="Courier New"/>
              </w:rPr>
              <w:t>413</w:t>
            </w:r>
          </w:p>
        </w:tc>
        <w:tc>
          <w:tcPr>
            <w:tcW w:w="6120" w:type="dxa"/>
            <w:tcBorders/>
          </w:tcPr>
          <w:p>
            <w:pPr>
              <w:pStyle w:val="Department"/>
              <w:rPr>
                <w:rFonts w:ascii="Courier New" w:hAnsi="Courier New" w:cs="Courier New"/>
              </w:rPr>
            </w:pPr>
            <w:r>
              <w:rPr>
                <w:rFonts w:cs="Courier New" w:ascii="Courier New" w:hAnsi="Courier New"/>
              </w:rPr>
              <w:t>Peninsular Gas Company</w:t>
            </w:r>
          </w:p>
        </w:tc>
      </w:tr>
      <w:tr>
        <w:trPr/>
        <w:tc>
          <w:tcPr>
            <w:tcW w:w="1278" w:type="dxa"/>
            <w:tcBorders/>
          </w:tcPr>
          <w:p>
            <w:pPr>
              <w:pStyle w:val="Department"/>
              <w:rPr>
                <w:rFonts w:ascii="Courier New" w:hAnsi="Courier New" w:cs="Courier New"/>
              </w:rPr>
            </w:pPr>
            <w:r>
              <w:rPr>
                <w:rFonts w:cs="Courier New" w:ascii="Courier New" w:hAnsi="Courier New"/>
              </w:rPr>
              <w:t>9682</w:t>
            </w:r>
          </w:p>
        </w:tc>
        <w:tc>
          <w:tcPr>
            <w:tcW w:w="6120" w:type="dxa"/>
            <w:tcBorders/>
          </w:tcPr>
          <w:p>
            <w:pPr>
              <w:pStyle w:val="Department"/>
              <w:rPr>
                <w:rFonts w:ascii="Courier New" w:hAnsi="Courier New" w:cs="Courier New"/>
              </w:rPr>
            </w:pPr>
            <w:r>
              <w:rPr>
                <w:rFonts w:cs="Courier New" w:ascii="Courier New" w:hAnsi="Courier New"/>
              </w:rPr>
              <w:t>Post Rock Gas, Inc.</w:t>
            </w:r>
          </w:p>
        </w:tc>
      </w:tr>
      <w:tr>
        <w:trPr/>
        <w:tc>
          <w:tcPr>
            <w:tcW w:w="1278" w:type="dxa"/>
            <w:tcBorders/>
          </w:tcPr>
          <w:p>
            <w:pPr>
              <w:pStyle w:val="Department"/>
              <w:rPr>
                <w:rFonts w:ascii="Courier New" w:hAnsi="Courier New" w:cs="Courier New"/>
              </w:rPr>
            </w:pPr>
            <w:r>
              <w:rPr>
                <w:rFonts w:cs="Courier New" w:ascii="Courier New" w:hAnsi="Courier New"/>
              </w:rPr>
              <w:t>6464</w:t>
            </w:r>
          </w:p>
        </w:tc>
        <w:tc>
          <w:tcPr>
            <w:tcW w:w="6120" w:type="dxa"/>
            <w:tcBorders/>
          </w:tcPr>
          <w:p>
            <w:pPr>
              <w:pStyle w:val="Department"/>
              <w:rPr>
                <w:rFonts w:ascii="Courier New" w:hAnsi="Courier New" w:cs="Courier New"/>
              </w:rPr>
            </w:pPr>
            <w:r>
              <w:rPr>
                <w:rFonts w:cs="Courier New" w:ascii="Courier New" w:hAnsi="Courier New"/>
              </w:rPr>
              <w:t>Rock Rapids Municipal Utilities</w:t>
            </w:r>
          </w:p>
        </w:tc>
      </w:tr>
      <w:tr>
        <w:trPr/>
        <w:tc>
          <w:tcPr>
            <w:tcW w:w="1278" w:type="dxa"/>
            <w:tcBorders/>
          </w:tcPr>
          <w:p>
            <w:pPr>
              <w:pStyle w:val="Department"/>
              <w:rPr>
                <w:rFonts w:ascii="Courier New" w:hAnsi="Courier New" w:cs="Courier New"/>
              </w:rPr>
            </w:pPr>
            <w:r>
              <w:rPr>
                <w:rFonts w:cs="Courier New" w:ascii="Courier New" w:hAnsi="Courier New"/>
              </w:rPr>
              <w:t>378</w:t>
            </w:r>
          </w:p>
        </w:tc>
        <w:tc>
          <w:tcPr>
            <w:tcW w:w="6120" w:type="dxa"/>
            <w:tcBorders/>
          </w:tcPr>
          <w:p>
            <w:pPr>
              <w:pStyle w:val="Department"/>
              <w:rPr>
                <w:rFonts w:ascii="Courier New" w:hAnsi="Courier New" w:cs="Courier New"/>
              </w:rPr>
            </w:pPr>
            <w:r>
              <w:rPr>
                <w:rFonts w:cs="Courier New" w:ascii="Courier New" w:hAnsi="Courier New"/>
              </w:rPr>
              <w:t>Seagull Marketing Services, Inc.</w:t>
            </w:r>
          </w:p>
        </w:tc>
      </w:tr>
      <w:tr>
        <w:trPr/>
        <w:tc>
          <w:tcPr>
            <w:tcW w:w="1278" w:type="dxa"/>
            <w:tcBorders/>
          </w:tcPr>
          <w:p>
            <w:pPr>
              <w:pStyle w:val="Department"/>
              <w:rPr>
                <w:rFonts w:ascii="Courier New" w:hAnsi="Courier New" w:cs="Courier New"/>
              </w:rPr>
            </w:pPr>
            <w:r>
              <w:rPr>
                <w:rFonts w:cs="Courier New" w:ascii="Courier New" w:hAnsi="Courier New"/>
              </w:rPr>
              <w:t>401</w:t>
            </w:r>
          </w:p>
        </w:tc>
        <w:tc>
          <w:tcPr>
            <w:tcW w:w="6120" w:type="dxa"/>
            <w:tcBorders/>
          </w:tcPr>
          <w:p>
            <w:pPr>
              <w:pStyle w:val="Department"/>
              <w:rPr>
                <w:rFonts w:ascii="Courier New" w:hAnsi="Courier New" w:cs="Courier New"/>
              </w:rPr>
            </w:pPr>
            <w:r>
              <w:rPr>
                <w:rFonts w:cs="Courier New" w:ascii="Courier New" w:hAnsi="Courier New"/>
              </w:rPr>
              <w:t>St. Croix Valley Natural Gas</w:t>
            </w:r>
          </w:p>
        </w:tc>
      </w:tr>
      <w:tr>
        <w:trPr/>
        <w:tc>
          <w:tcPr>
            <w:tcW w:w="1278" w:type="dxa"/>
            <w:tcBorders/>
          </w:tcPr>
          <w:p>
            <w:pPr>
              <w:pStyle w:val="Department"/>
              <w:rPr>
                <w:rFonts w:ascii="Courier New" w:hAnsi="Courier New" w:cs="Courier New"/>
              </w:rPr>
            </w:pPr>
            <w:r>
              <w:rPr>
                <w:rFonts w:cs="Courier New" w:ascii="Courier New" w:hAnsi="Courier New"/>
              </w:rPr>
              <w:t>7869</w:t>
            </w:r>
          </w:p>
        </w:tc>
        <w:tc>
          <w:tcPr>
            <w:tcW w:w="6120" w:type="dxa"/>
            <w:tcBorders/>
          </w:tcPr>
          <w:p>
            <w:pPr>
              <w:pStyle w:val="Department"/>
              <w:rPr>
                <w:rFonts w:ascii="Courier New" w:hAnsi="Courier New" w:cs="Courier New"/>
              </w:rPr>
            </w:pPr>
            <w:r>
              <w:rPr>
                <w:rFonts w:cs="Courier New" w:ascii="Courier New" w:hAnsi="Courier New"/>
              </w:rPr>
              <w:t>Town of Brooklyn</w:t>
            </w:r>
          </w:p>
        </w:tc>
      </w:tr>
      <w:tr>
        <w:trPr/>
        <w:tc>
          <w:tcPr>
            <w:tcW w:w="1278" w:type="dxa"/>
            <w:tcBorders/>
          </w:tcPr>
          <w:p>
            <w:pPr>
              <w:pStyle w:val="Department"/>
              <w:rPr>
                <w:rFonts w:ascii="Courier New" w:hAnsi="Courier New" w:cs="Courier New"/>
              </w:rPr>
            </w:pPr>
            <w:r>
              <w:rPr>
                <w:rFonts w:cs="Courier New" w:ascii="Courier New" w:hAnsi="Courier New"/>
              </w:rPr>
              <w:t>11832</w:t>
            </w:r>
          </w:p>
        </w:tc>
        <w:tc>
          <w:tcPr>
            <w:tcW w:w="6120" w:type="dxa"/>
            <w:tcBorders/>
          </w:tcPr>
          <w:p>
            <w:pPr>
              <w:pStyle w:val="Department"/>
              <w:rPr>
                <w:rFonts w:ascii="Courier New" w:hAnsi="Courier New" w:cs="Courier New"/>
              </w:rPr>
            </w:pPr>
            <w:r>
              <w:rPr>
                <w:rFonts w:cs="Courier New" w:ascii="Courier New" w:hAnsi="Courier New"/>
              </w:rPr>
              <w:t>Transcanada Energy Marketing USA (formerly Cibola)</w:t>
            </w:r>
          </w:p>
        </w:tc>
      </w:tr>
      <w:tr>
        <w:trPr/>
        <w:tc>
          <w:tcPr>
            <w:tcW w:w="1278" w:type="dxa"/>
            <w:tcBorders/>
          </w:tcPr>
          <w:p>
            <w:pPr>
              <w:pStyle w:val="Department"/>
              <w:rPr>
                <w:rFonts w:ascii="Courier New" w:hAnsi="Courier New" w:cs="Courier New"/>
              </w:rPr>
            </w:pPr>
            <w:r>
              <w:rPr>
                <w:rFonts w:cs="Courier New" w:ascii="Courier New" w:hAnsi="Courier New"/>
              </w:rPr>
              <w:t>246</w:t>
            </w:r>
          </w:p>
        </w:tc>
        <w:tc>
          <w:tcPr>
            <w:tcW w:w="6120" w:type="dxa"/>
            <w:tcBorders/>
          </w:tcPr>
          <w:p>
            <w:pPr>
              <w:pStyle w:val="Department"/>
              <w:rPr>
                <w:rFonts w:ascii="Courier New" w:hAnsi="Courier New" w:cs="Courier New"/>
              </w:rPr>
            </w:pPr>
            <w:r>
              <w:rPr>
                <w:rFonts w:cs="Courier New" w:ascii="Courier New" w:hAnsi="Courier New"/>
              </w:rPr>
              <w:t>Watertown Municipal Utilities</w:t>
            </w:r>
          </w:p>
        </w:tc>
      </w:tr>
      <w:tr>
        <w:trPr/>
        <w:tc>
          <w:tcPr>
            <w:tcW w:w="1278" w:type="dxa"/>
            <w:tcBorders/>
          </w:tcPr>
          <w:p>
            <w:pPr>
              <w:pStyle w:val="Department"/>
              <w:rPr>
                <w:rFonts w:ascii="Courier New" w:hAnsi="Courier New" w:cs="Courier New"/>
              </w:rPr>
            </w:pPr>
            <w:r>
              <w:rPr>
                <w:rFonts w:cs="Courier New" w:ascii="Courier New" w:hAnsi="Courier New"/>
              </w:rPr>
              <w:t>11384</w:t>
            </w:r>
          </w:p>
        </w:tc>
        <w:tc>
          <w:tcPr>
            <w:tcW w:w="6120" w:type="dxa"/>
            <w:tcBorders/>
          </w:tcPr>
          <w:p>
            <w:pPr>
              <w:pStyle w:val="Department"/>
              <w:rPr>
                <w:rFonts w:ascii="Courier New" w:hAnsi="Courier New" w:cs="Courier New"/>
              </w:rPr>
            </w:pPr>
            <w:r>
              <w:rPr>
                <w:rFonts w:cs="Courier New" w:ascii="Courier New" w:hAnsi="Courier New"/>
              </w:rPr>
              <w:t>Williams Energy Marketing &amp; Trading Company</w:t>
            </w:r>
          </w:p>
        </w:tc>
      </w:tr>
    </w:tbl>
    <w:p>
      <w:pPr>
        <w:pStyle w:val="Department"/>
        <w:rPr>
          <w:rFonts w:ascii="Courier New" w:hAnsi="Courier New" w:cs="Courier New"/>
        </w:rPr>
      </w:pPr>
      <w:r>
        <w:rPr>
          <w:rFonts w:cs="Courier New" w:ascii="Courier New" w:hAnsi="Courier New"/>
        </w:rPr>
      </w:r>
    </w:p>
    <w:p>
      <w:pPr>
        <w:pStyle w:val="Department"/>
        <w:rPr>
          <w:rFonts w:ascii="Courier New" w:hAnsi="Courier New" w:cs="Courier New"/>
        </w:rPr>
      </w:pPr>
      <w:r>
        <w:rPr>
          <w:rFonts w:cs="Courier New" w:ascii="Courier New" w:hAnsi="Courier New"/>
        </w:rPr>
      </w:r>
    </w:p>
    <w:p>
      <w:pPr>
        <w:pStyle w:val="Department"/>
        <w:rPr>
          <w:rFonts w:ascii="Courier New" w:hAnsi="Courier New" w:cs="Courier New"/>
          <w:b/>
        </w:rPr>
      </w:pPr>
      <w:r>
        <w:rPr>
          <w:rFonts w:cs="Courier New" w:ascii="Courier New" w:hAnsi="Courier New"/>
          <w:b/>
        </w:rPr>
        <w:t>Effective 1/1/2001, the following shippers move from Low Load to High Load.  Several of these customers tend to the flip-flop between High &amp; Low Load categories from year to year. The Reservation GRI rate on firm contracts for these shippers will increase.</w:t>
      </w:r>
    </w:p>
    <w:p>
      <w:pPr>
        <w:pStyle w:val="Department"/>
        <w:rPr>
          <w:rFonts w:ascii="Courier New" w:hAnsi="Courier New" w:cs="Courier New"/>
          <w:b/>
        </w:rPr>
      </w:pPr>
      <w:r>
        <w:rPr>
          <w:rFonts w:cs="Courier New" w:ascii="Courier New" w:hAnsi="Courier New"/>
          <w:b/>
        </w:rPr>
      </w:r>
    </w:p>
    <w:tbl>
      <w:tblPr>
        <w:tblW w:w="7398" w:type="dxa"/>
        <w:jc w:val="start"/>
        <w:tblInd w:w="0" w:type="dxa"/>
        <w:tblLayout w:type="fixed"/>
        <w:tblCellMar>
          <w:top w:w="0" w:type="dxa"/>
          <w:start w:w="108" w:type="dxa"/>
          <w:bottom w:w="0" w:type="dxa"/>
          <w:end w:w="108" w:type="dxa"/>
        </w:tblCellMar>
      </w:tblPr>
      <w:tblGrid>
        <w:gridCol w:w="1278"/>
        <w:gridCol w:w="6120"/>
      </w:tblGrid>
      <w:tr>
        <w:trPr/>
        <w:tc>
          <w:tcPr>
            <w:tcW w:w="1278" w:type="dxa"/>
            <w:tcBorders/>
          </w:tcPr>
          <w:p>
            <w:pPr>
              <w:pStyle w:val="Department"/>
              <w:rPr>
                <w:rFonts w:ascii="Courier New" w:hAnsi="Courier New" w:cs="Courier New"/>
                <w:i/>
                <w:i/>
              </w:rPr>
            </w:pPr>
            <w:r>
              <w:rPr>
                <w:rFonts w:cs="Courier New" w:ascii="Courier New" w:hAnsi="Courier New"/>
                <w:i/>
              </w:rPr>
              <w:t>Legal Entity</w:t>
            </w:r>
          </w:p>
        </w:tc>
        <w:tc>
          <w:tcPr>
            <w:tcW w:w="6120" w:type="dxa"/>
            <w:tcBorders/>
          </w:tcPr>
          <w:p>
            <w:pPr>
              <w:pStyle w:val="Department"/>
              <w:rPr>
                <w:rFonts w:ascii="Courier New" w:hAnsi="Courier New" w:cs="Courier New"/>
                <w:i/>
                <w:i/>
              </w:rPr>
            </w:pPr>
            <w:r>
              <w:rPr>
                <w:rFonts w:cs="Courier New" w:ascii="Courier New" w:hAnsi="Courier New"/>
                <w:i/>
              </w:rPr>
              <w:t>Shipper</w:t>
            </w:r>
          </w:p>
        </w:tc>
      </w:tr>
      <w:tr>
        <w:trPr/>
        <w:tc>
          <w:tcPr>
            <w:tcW w:w="1278" w:type="dxa"/>
            <w:tcBorders/>
          </w:tcPr>
          <w:p>
            <w:pPr>
              <w:pStyle w:val="Department"/>
              <w:rPr>
                <w:rFonts w:ascii="Courier New" w:hAnsi="Courier New" w:cs="Courier New"/>
              </w:rPr>
            </w:pPr>
            <w:r>
              <w:rPr>
                <w:rFonts w:cs="Courier New" w:ascii="Courier New" w:hAnsi="Courier New"/>
              </w:rPr>
              <w:t>11888</w:t>
            </w:r>
          </w:p>
        </w:tc>
        <w:tc>
          <w:tcPr>
            <w:tcW w:w="6120" w:type="dxa"/>
            <w:tcBorders/>
          </w:tcPr>
          <w:p>
            <w:pPr>
              <w:pStyle w:val="Department"/>
              <w:rPr>
                <w:rFonts w:ascii="Courier New" w:hAnsi="Courier New" w:cs="Courier New"/>
              </w:rPr>
            </w:pPr>
            <w:r>
              <w:rPr>
                <w:rFonts w:cs="Courier New" w:ascii="Courier New" w:hAnsi="Courier New"/>
              </w:rPr>
              <w:t>Bunge Corporation</w:t>
            </w:r>
          </w:p>
        </w:tc>
      </w:tr>
      <w:tr>
        <w:trPr/>
        <w:tc>
          <w:tcPr>
            <w:tcW w:w="1278" w:type="dxa"/>
            <w:tcBorders/>
          </w:tcPr>
          <w:p>
            <w:pPr>
              <w:pStyle w:val="Department"/>
              <w:rPr>
                <w:rFonts w:ascii="Courier New" w:hAnsi="Courier New" w:cs="Courier New"/>
              </w:rPr>
            </w:pPr>
            <w:r>
              <w:rPr>
                <w:rFonts w:cs="Courier New" w:ascii="Courier New" w:hAnsi="Courier New"/>
              </w:rPr>
              <w:t>9691</w:t>
            </w:r>
          </w:p>
        </w:tc>
        <w:tc>
          <w:tcPr>
            <w:tcW w:w="6120" w:type="dxa"/>
            <w:tcBorders/>
          </w:tcPr>
          <w:p>
            <w:pPr>
              <w:pStyle w:val="Department"/>
              <w:rPr>
                <w:rFonts w:ascii="Courier New" w:hAnsi="Courier New" w:cs="Courier New"/>
              </w:rPr>
            </w:pPr>
            <w:r>
              <w:rPr>
                <w:rFonts w:cs="Courier New" w:ascii="Courier New" w:hAnsi="Courier New"/>
              </w:rPr>
              <w:t>Cardinal IG11912</w:t>
            </w:r>
          </w:p>
        </w:tc>
      </w:tr>
      <w:tr>
        <w:trPr/>
        <w:tc>
          <w:tcPr>
            <w:tcW w:w="1278" w:type="dxa"/>
            <w:tcBorders/>
          </w:tcPr>
          <w:p>
            <w:pPr>
              <w:pStyle w:val="Department"/>
              <w:rPr>
                <w:rFonts w:ascii="Courier New" w:hAnsi="Courier New" w:cs="Courier New"/>
              </w:rPr>
            </w:pPr>
            <w:r>
              <w:rPr>
                <w:rFonts w:cs="Courier New" w:ascii="Courier New" w:hAnsi="Courier New"/>
              </w:rPr>
              <w:t>11912</w:t>
            </w:r>
          </w:p>
        </w:tc>
        <w:tc>
          <w:tcPr>
            <w:tcW w:w="6120" w:type="dxa"/>
            <w:tcBorders/>
          </w:tcPr>
          <w:p>
            <w:pPr>
              <w:pStyle w:val="Department"/>
              <w:rPr>
                <w:rFonts w:ascii="Courier New" w:hAnsi="Courier New" w:cs="Courier New"/>
              </w:rPr>
            </w:pPr>
            <w:r>
              <w:rPr>
                <w:rFonts w:cs="Courier New" w:ascii="Courier New" w:hAnsi="Courier New"/>
              </w:rPr>
              <w:t>Margasco Partnership</w:t>
            </w:r>
          </w:p>
        </w:tc>
      </w:tr>
      <w:tr>
        <w:trPr/>
        <w:tc>
          <w:tcPr>
            <w:tcW w:w="1278" w:type="dxa"/>
            <w:tcBorders/>
          </w:tcPr>
          <w:p>
            <w:pPr>
              <w:pStyle w:val="Department"/>
              <w:rPr>
                <w:rFonts w:ascii="Courier New" w:hAnsi="Courier New" w:cs="Courier New"/>
              </w:rPr>
            </w:pPr>
            <w:r>
              <w:rPr>
                <w:rFonts w:cs="Courier New" w:ascii="Courier New" w:hAnsi="Courier New"/>
              </w:rPr>
              <w:t>394</w:t>
            </w:r>
          </w:p>
        </w:tc>
        <w:tc>
          <w:tcPr>
            <w:tcW w:w="6120" w:type="dxa"/>
            <w:tcBorders/>
          </w:tcPr>
          <w:p>
            <w:pPr>
              <w:pStyle w:val="Department"/>
              <w:rPr>
                <w:rFonts w:ascii="Courier New" w:hAnsi="Courier New" w:cs="Courier New"/>
              </w:rPr>
            </w:pPr>
            <w:r>
              <w:rPr>
                <w:rFonts w:cs="Courier New" w:ascii="Courier New" w:hAnsi="Courier New"/>
              </w:rPr>
              <w:t>Northwestern Public Service Company</w:t>
            </w:r>
          </w:p>
        </w:tc>
      </w:tr>
      <w:tr>
        <w:trPr/>
        <w:tc>
          <w:tcPr>
            <w:tcW w:w="1278" w:type="dxa"/>
            <w:tcBorders/>
          </w:tcPr>
          <w:p>
            <w:pPr>
              <w:pStyle w:val="Department"/>
              <w:rPr>
                <w:rFonts w:ascii="Courier New" w:hAnsi="Courier New" w:cs="Courier New"/>
              </w:rPr>
            </w:pPr>
            <w:r>
              <w:rPr>
                <w:rFonts w:cs="Courier New" w:ascii="Courier New" w:hAnsi="Courier New"/>
              </w:rPr>
              <w:t>11875</w:t>
            </w:r>
          </w:p>
        </w:tc>
        <w:tc>
          <w:tcPr>
            <w:tcW w:w="6120" w:type="dxa"/>
            <w:tcBorders/>
          </w:tcPr>
          <w:p>
            <w:pPr>
              <w:pStyle w:val="Department"/>
              <w:rPr>
                <w:rFonts w:ascii="Courier New" w:hAnsi="Courier New" w:cs="Courier New"/>
              </w:rPr>
            </w:pPr>
            <w:r>
              <w:rPr>
                <w:rFonts w:cs="Courier New" w:ascii="Courier New" w:hAnsi="Courier New"/>
              </w:rPr>
              <w:t>OGE Energy Resources, Inc.</w:t>
            </w:r>
          </w:p>
        </w:tc>
      </w:tr>
      <w:tr>
        <w:trPr/>
        <w:tc>
          <w:tcPr>
            <w:tcW w:w="1278" w:type="dxa"/>
            <w:tcBorders/>
          </w:tcPr>
          <w:p>
            <w:pPr>
              <w:pStyle w:val="Department"/>
              <w:snapToGrid w:val="false"/>
              <w:rPr>
                <w:rFonts w:ascii="Courier New" w:hAnsi="Courier New" w:cs="Courier New"/>
              </w:rPr>
            </w:pPr>
            <w:r>
              <w:rPr>
                <w:rFonts w:cs="Courier New" w:ascii="Courier New" w:hAnsi="Courier New"/>
              </w:rPr>
            </w:r>
          </w:p>
        </w:tc>
        <w:tc>
          <w:tcPr>
            <w:tcW w:w="6120" w:type="dxa"/>
            <w:tcBorders/>
          </w:tcPr>
          <w:p>
            <w:pPr>
              <w:pStyle w:val="Department"/>
              <w:snapToGrid w:val="false"/>
              <w:rPr>
                <w:rFonts w:ascii="Courier New" w:hAnsi="Courier New" w:cs="Courier New"/>
              </w:rPr>
            </w:pPr>
            <w:r>
              <w:rPr>
                <w:rFonts w:cs="Courier New" w:ascii="Courier New" w:hAnsi="Courier New"/>
              </w:rPr>
            </w:r>
          </w:p>
        </w:tc>
      </w:tr>
    </w:tbl>
    <w:p>
      <w:pPr>
        <w:pStyle w:val="Department"/>
        <w:rPr>
          <w:rFonts w:ascii="Courier New" w:hAnsi="Courier New" w:cs="Courier New"/>
        </w:rPr>
      </w:pPr>
      <w:r>
        <w:rPr>
          <w:rFonts w:cs="Courier New" w:ascii="Courier New" w:hAnsi="Courier New"/>
        </w:rPr>
      </w:r>
    </w:p>
    <w:sectPr>
      <w:headerReference w:type="default" r:id="rId3"/>
      <w:headerReference w:type="first" r:id="rId4"/>
      <w:type w:val="nextPage"/>
      <w:pgSz w:w="12240" w:h="15840"/>
      <w:pgMar w:left="720" w:right="720" w:gutter="0" w:header="720" w:top="776" w:footer="0" w:bottom="36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Courier New">
    <w:charset w:val="00" w:characterSet="windows-1252"/>
    <w:family w:val="moder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cs="Courier New" w:ascii="Courier New" w:hAnsi="Courier New"/>
        <w:sz w:val="22"/>
      </w:rPr>
      <w:tab/>
    </w:r>
    <w:r>
      <w:rPr>
        <w:rFonts w:cs="Courier New" w:ascii="Courier New" w:hAnsi="Courier New"/>
        <w:sz w:val="22"/>
      </w:rPr>
      <w:fldChar w:fldCharType="begin"/>
    </w:r>
    <w:r>
      <w:rPr>
        <w:sz w:val="22"/>
        <w:rFonts w:cs="Courier New" w:ascii="Courier New" w:hAnsi="Courier New"/>
      </w:rPr>
      <w:instrText xml:space="preserve"> DATE \@"M/d/yyyy" </w:instrText>
    </w:r>
    <w:r>
      <w:rPr>
        <w:sz w:val="22"/>
        <w:rFonts w:cs="Courier New" w:ascii="Courier New" w:hAnsi="Courier New"/>
      </w:rPr>
      <w:fldChar w:fldCharType="separate"/>
    </w:r>
    <w:r>
      <w:rPr>
        <w:sz w:val="22"/>
        <w:rFonts w:cs="Courier New" w:ascii="Courier New" w:hAnsi="Courier New"/>
      </w:rPr>
      <w:t>9/28/2025</w:t>
    </w:r>
    <w:r>
      <w:rPr>
        <w:sz w:val="22"/>
        <w:rFonts w:cs="Courier New" w:ascii="Courier New" w:hAnsi="Courier New"/>
      </w:rPr>
      <w:fldChar w:fldCharType="end"/>
    </w:r>
    <w:r>
      <w:rPr>
        <w:rFonts w:cs="Courier New" w:ascii="Courier New" w:hAnsi="Courier New"/>
        <w:sz w:val="22"/>
      </w:rPr>
      <w:tab/>
      <w:t xml:space="preserve">Page </w:t>
    </w:r>
    <w:r>
      <w:rPr>
        <w:rFonts w:cs="Courier New" w:ascii="Courier New" w:hAnsi="Courier New"/>
        <w:sz w:val="22"/>
      </w:rPr>
      <w:fldChar w:fldCharType="begin"/>
    </w:r>
    <w:r>
      <w:rPr>
        <w:sz w:val="22"/>
        <w:rFonts w:cs="Courier New" w:ascii="Courier New" w:hAnsi="Courier New"/>
      </w:rPr>
      <w:instrText xml:space="preserve"> PAGE </w:instrText>
    </w:r>
    <w:r>
      <w:rPr>
        <w:sz w:val="22"/>
        <w:rFonts w:cs="Courier New" w:ascii="Courier New" w:hAnsi="Courier New"/>
      </w:rPr>
      <w:fldChar w:fldCharType="separate"/>
    </w:r>
    <w:r>
      <w:rPr>
        <w:sz w:val="22"/>
        <w:rFonts w:cs="Courier New" w:ascii="Courier New" w:hAnsi="Courier New"/>
      </w:rPr>
      <w:t>2</w:t>
    </w:r>
    <w:r>
      <w:rPr>
        <w:sz w:val="22"/>
        <w:rFonts w:cs="Courier New" w:ascii="Courier New" w:hAnsi="Courier New"/>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-275590</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1.7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Bfsmemo.dot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2001-01-03T19:18:00Z</dcterms:created>
  <dc:creator>..</dc:creator>
  <dc:description/>
  <dc:language>en-CA</dc:language>
  <cp:lastModifiedBy>Enron</cp:lastModifiedBy>
  <cp:lastPrinted>2000-01-04T10:41:00Z</cp:lastPrinted>
  <dcterms:modified xsi:type="dcterms:W3CDTF">2001-01-03T19:18:00Z</dcterms:modified>
  <cp:revision>2</cp:revision>
  <dc:subject/>
  <dc:title>Better, Faster, Simpler Memo </dc:title>
</cp:coreProperties>
</file>