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r>
        <w:rPr/>
        <w:t>Law Offices</w:t>
      </w:r>
    </w:p>
    <w:p>
      <w:pPr>
        <w:pStyle w:val="Normal"/>
        <w:jc w:val="center"/>
        <w:rPr/>
      </w:pPr>
      <w:r>
        <w:rPr/>
        <w:t>MODRALL, SPERLING, ROEHL, HARRIS &amp;SISK, P.A.</w:t>
      </w:r>
    </w:p>
    <w:p>
      <w:pPr>
        <w:pStyle w:val="Normal"/>
        <w:jc w:val="center"/>
        <w:rPr/>
      </w:pPr>
      <w:r>
        <w:rPr/>
        <w:t>500 Fourth Street N.W.</w:t>
      </w:r>
    </w:p>
    <w:p>
      <w:pPr>
        <w:pStyle w:val="Normal"/>
        <w:jc w:val="center"/>
        <w:rPr/>
      </w:pPr>
      <w:r>
        <w:rPr/>
        <w:t>Bank of America Centre, Suite 1000</w:t>
      </w:r>
    </w:p>
    <w:p>
      <w:pPr>
        <w:pStyle w:val="Normal"/>
        <w:jc w:val="center"/>
        <w:rPr/>
      </w:pPr>
      <w:r>
        <w:rPr/>
        <w:t>Post Office Box 2168</w:t>
      </w:r>
    </w:p>
    <w:p>
      <w:pPr>
        <w:pStyle w:val="Normal"/>
        <w:jc w:val="center"/>
        <w:rPr/>
      </w:pPr>
      <w:r>
        <w:rPr/>
        <w:t>Albuquerque, New Mexico  87103-2168</w:t>
      </w:r>
    </w:p>
    <w:p>
      <w:pPr>
        <w:pStyle w:val="Normal"/>
        <w:jc w:val="center"/>
        <w:rPr/>
      </w:pPr>
      <w:r>
        <w:rPr/>
        <w:t>Phone:  (505) 848-1800</w:t>
      </w:r>
    </w:p>
    <w:p>
      <w:pPr>
        <w:pStyle w:val="Normal"/>
        <w:jc w:val="center"/>
        <w:rPr/>
      </w:pPr>
      <w:r>
        <w:rPr/>
        <w:t>Fax:  (505) 848-9710</w:t>
      </w:r>
    </w:p>
    <w:p>
      <w:pPr>
        <w:pStyle w:val="Normal"/>
        <w:jc w:val="center"/>
        <w:rPr>
          <w:i/>
          <w:i/>
        </w:rPr>
      </w:pPr>
      <w:r>
        <w:rPr>
          <w:i/>
        </w:rPr>
        <w:t>www.modrall.com</w:t>
      </w:r>
    </w:p>
    <w:p>
      <w:pPr>
        <w:pStyle w:val="Normal"/>
        <w:rPr/>
      </w:pPr>
      <w:r>
        <w:rPr/>
      </w:r>
    </w:p>
    <w:p>
      <w:pPr>
        <w:pStyle w:val="Normal"/>
        <w:jc w:val="center"/>
        <w:rPr>
          <w:b/>
          <w:u w:val="single"/>
        </w:rPr>
      </w:pPr>
      <w:r>
        <w:rPr>
          <w:b/>
          <w:u w:val="single"/>
        </w:rPr>
        <w:t>M E M O R A N D U M</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1440" w:start="1440" w:end="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480"/>
        <w:ind w:hanging="1440" w:start="1440" w:end="0"/>
        <w:rPr/>
      </w:pPr>
      <w:r>
        <w:rPr/>
        <w:t>TO:</w:t>
        <w:tab/>
        <w:t>Jerry T. Moore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1440" w:start="1440" w:end="0"/>
        <w:rPr/>
      </w:pPr>
      <w:r>
        <w:rPr/>
        <w:t>FROM:</w:t>
        <w:tab/>
        <w:t>Lynn H. Slade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1440" w:end="0"/>
        <w:rPr/>
      </w:pPr>
      <w:r>
        <w:rPr/>
        <w:t>William C. Scott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1440" w:end="0"/>
        <w:rPr/>
      </w:pPr>
      <w:r>
        <w:rPr/>
        <w:t>Tim R. Van Valen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480"/>
        <w:ind w:hanging="1440" w:start="1440" w:end="0"/>
        <w:rPr/>
      </w:pPr>
      <w:r>
        <w:rPr/>
        <w:t>DATE:</w:t>
        <w:tab/>
      </w: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1440" w:start="1440" w:end="0"/>
        <w:rPr/>
      </w:pPr>
      <w:r>
        <w:rPr/>
        <w:t>RE:</w:t>
        <w:tab/>
        <w:t>Application of New Mexico and Navajo Nation Taxes to Proposed Enron Pipeline Project</w:t>
      </w:r>
    </w:p>
    <w:p>
      <w:pPr>
        <w:pStyle w:val="Normal"/>
        <w:tabs>
          <w:tab w:val="clear" w:pos="720"/>
          <w:tab w:val="left" w:pos="0" w:leader="none"/>
          <w:tab w:val="right" w:pos="9360" w:leader="none"/>
        </w:tabs>
        <w:rPr>
          <w:u w:val="single"/>
        </w:rPr>
      </w:pPr>
      <w:r>
        <w:rPr>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1"/>
        <w:keepLines/>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jc w:val="both"/>
        <w:rPr/>
      </w:pPr>
      <w:r>
        <w:rPr/>
        <w:tab/>
        <w:t>INTRODUCTION: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This memorandum responds to your September 26, 2001 request for commentary and relatively minor updating on the summary of New Mexico's gross receipts tax that you sent to us by facsimile on September 26, 2001 as well as potentially applicable Navajo Nation taxes.  This memorandum is not a comprehensive analysis of all the New Mexico and Navajo Nation tax consequences that might flow from the proposed pipeline construction project, but is instead only a broad summary.  We do not have at this time all the facts relating to possible transactions and cannot opine on all the various possible taxable transactions in such a complex project.  The gross receipts tax on construction and construction related activities is particularly complicated and good tax planning is necessary to minimize the tax burden.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720" w:end="0"/>
        <w:jc w:val="both"/>
        <w:rPr/>
      </w:pPr>
      <w:r>
        <w:rPr/>
        <w:t xml:space="preserve">The fact that transactions or taxable activities occur on Indian lands generally has no effect on application of the New Mexico gross receipts or compensating taxes described below when the transaction is between </w:t>
      </w:r>
      <w:r>
        <w:rPr>
          <w:b/>
          <w:i/>
        </w:rPr>
        <w:t>non-Indian</w:t>
      </w:r>
      <w:r>
        <w:rPr/>
        <w:t xml:space="preserve"> entities, regardless of some relationship to Indian lands. Receipts from sales to or by Indian entities on Indian lands, however, may be outside of those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1"/>
        <w:keepNext w:val="true"/>
        <w:keepLines/>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jc w:val="both"/>
        <w:rPr/>
      </w:pPr>
      <w:r>
        <w:rPr/>
        <w:tab/>
        <w:t>NEW MEXICO GROSS RECEIPTS TAX:</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We have reviewed the Enron internal analysis memorandum you forwarded to us on September 26 and found it to be generally accurate.  The one area of the memorandum that we found to be a bit incomplete was the discussion about taxation of subcontractors. Unfortunately, New Mexico’s gross receipts tax contains a fair amount of tax pyramiding in the area of services, even if proper steps are taken by all concerned to minimize the tax impact.  We also believe that we can provide you some additional information that can assist Enron in costing this project.  Accordingly, below we follow the general outline and categories provided in the Enron memo, with additional comments that we believe will assist your analysis.  We also point out some of the issues relating to subcontractors and pyramiding.  Of course, as the project develops and the details become more clear, please feel free to ask any questions you may have.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Summary Overview: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New Mexico has a transactional tax scheme that is unlike that found in most states.   New Mexico imposes a broad-based "gross receipts tax" on the receipts of </w:t>
      </w:r>
      <w:r>
        <w:rPr>
          <w:b/>
          <w:i/>
        </w:rPr>
        <w:t>sellers</w:t>
      </w:r>
      <w:r>
        <w:rPr/>
        <w:t xml:space="preserve"> of property and services, and lessors of tangible personal property employed in New Mexico.  Sellers alone have the legal liability for paying and reporting the gross receipts tax.  The gross receipts tax is imposed on receipts from several types of transactions, subject to any applicable exemptions or deductions: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1.</w:t>
        <w:tab/>
        <w:t xml:space="preserve">Selling real and tangible personal property in New Mexico (though there is a deduction for receipts from the sale or </w:t>
      </w:r>
      <w:r>
        <w:rPr>
          <w:b/>
          <w:i/>
        </w:rPr>
        <w:t xml:space="preserve">lease </w:t>
      </w:r>
      <w:r>
        <w:rPr/>
        <w:t>of real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2.</w:t>
        <w:tab/>
        <w:t xml:space="preserve">Selling some types of intangible property in New Mexico, including </w:t>
      </w:r>
      <w:r>
        <w:rPr>
          <w:b/>
          <w:i/>
        </w:rPr>
        <w:t>licenses</w:t>
      </w:r>
      <w:r>
        <w:rPr/>
        <w:t xml:space="preserve"> to use property-which could include a right-of-way.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3.</w:t>
        <w:tab/>
        <w:t>Leasing tangible personal property "employed in New Mexico" (regardless of what state the lessor is located in).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4.</w:t>
        <w:tab/>
        <w:t xml:space="preserve">Selling services performed in New Mexico.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Gross  Receipts Tax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The State of New Mexico imposes the gross receipts tax at 5% of gross receipts.  Local governments also have authority to impose varying amounts of gross receipts tax.  The gross receipts tax to the state and all local bodies is reported and paid only once to the State of New Mexico, which then distributes the tax down to the other bodies.  The highest cumulative rate in New Mexico is currently 7%.  For the second half of 2001, the rate for San Juan County outside of municipalities is 5.75%; the rate for McKinley County outside of municipalities is 5.875%.  The rates within municipalities are somewhat higher. These rates are subject to semi-annual adjustment.  For most transactions other than construction, the rate is determined by the "place of business" of the </w:t>
      </w:r>
      <w:r>
        <w:rPr>
          <w:b/>
          <w:i/>
        </w:rPr>
        <w:t>seller</w:t>
      </w:r>
      <w:r>
        <w:rPr/>
        <w:t>, which obviously need not be a county near the construction site.  For “persons engaged in the construction business,” the rate is determined by the construction site location.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Construction Contractors: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As a general proposition, the general contractor pays gross receipts tax on the entire amount received from the purchaser of the completed project, including both materials and labor.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Subcontractors: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Construction and materials subcontractors can often claim a deduction for the sale of construction services and materials if their buyer provides them with the appropriate type of non-taxable transaction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Caution is in order, however, because New Mexico makes a distinction between construction services and other construction-related services that can lead to tax pyramiding as the Taxation and Revenue Department interprets the gross receipts tax.  The Department does not allow a construction contractor, in most circumstances, to issue a non-taxable transaction certificate to someone who sells services that are not construction services.  Perhaps the most common (and costly) example is a sale of engineering or design services performed in New Mexico sold to a general contractor.  Receipts from this sale are taxable essentially twice --  once on the sale to the general contractor and then when the general contractor sells the completed project to the purchaser.  Also, in a chain of sales of </w:t>
      </w:r>
      <w:r>
        <w:rPr>
          <w:b/>
          <w:i/>
        </w:rPr>
        <w:t>non</w:t>
      </w:r>
      <w:r>
        <w:rPr/>
        <w:t>-construction services, only receipts from every other sale are deductible.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Compensating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In addition to the gross receipts tax, New Mexico imposes a complementary compensating tax, often called a "use tax" in other states.  The primary, but not only, purpose of the compensating tax is to prevent purchase of </w:t>
      </w:r>
      <w:r>
        <w:rPr>
          <w:b/>
          <w:i/>
        </w:rPr>
        <w:t>tangible personal property</w:t>
      </w:r>
      <w:r>
        <w:rPr/>
        <w:t xml:space="preserve"> outside of New Mexico to avoid the gross receipts tax.  Therefore, the tax is imposed on the value of property purchased outside the state that is "used" in New Mexico, subject to a dollar for dollar credit for any similar tax paid to another state.   By definition, the compensating tax is not imposed on a seller, but the user, and generally buyer, of property.   Out-of-state sellers may, however, have compensating tax collection responsibilities.  The tax is 5% of the value of the property at the time it enters New Mexico.  The compensating tax generally does not apply to services performed outside of New Mexico or intangible property purchased outside of New Mexico.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Surety Bonds for Gross Receipts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A construction contractor that does not have "a principal place of business in New Mexico" who enters into a prime construction contract to be performed in New Mexico must provide a surety bond to the Taxation and Revenue Department for state and local gross receipts tax that would apply to the contract amount.  This requirement does not apply to tax liabilities under the contract of under $50,000.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1"/>
        <w:keepLines/>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jc w:val="both"/>
        <w:rPr/>
      </w:pPr>
      <w:r>
        <w:rPr/>
        <w:tab/>
        <w:t>NEW MEXICO PROPERTY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Property taxes are imposed by New Mexico counties and municipalities on property owned by the property owner on January 1 of each tax year.  Natural gas pipelines are subject to a "special method of valuation" in NMSA 1978, </w:t>
      </w:r>
      <w:r>
        <w:rPr>
          <w:rFonts w:cs="WP TypographicSymbols;Courier New" w:ascii="WP TypographicSymbols;Courier New" w:hAnsi="WP TypographicSymbols;Courier New"/>
        </w:rPr>
        <w:t>'</w:t>
      </w:r>
      <w:r>
        <w:rPr/>
        <w:t xml:space="preserve"> 7-36-27, applied by the New Mexico Taxation and Revenue Department, not individual counties.  Subject to details set forth in the applicable statutes and regulations, the valuation is generally a depreciated acquisition cost, rather than market value as is the general rule in New Mexico. Non-pipeline real property or fractional interests in non-pipeline real property are valued separately.  There is also a formula for calculating the value of construction work in progress on any given January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Property tax is imposed upon one-third (1/3) of the assessed value, which is referred to as  "net taxable value."  The tax rate in San Juan County varies depending on the applicable school district and whether the line is in or out of a municipality.  New Mexico property tax rates are generally much lower than in other states.   For property outside of municipalities, for the 2000 tax year (the most recent for which a rate has been set), the rate varies between $20 and $25 per $ 1,000 net taxable value in San Juan County.  In McKinley County for 2000, outside of municipalities, the rate varies between roughly $29 and $38 per $1,000 net taxable value.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1"/>
        <w:keepNext w:val="true"/>
        <w:keepLines/>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720" w:end="0"/>
        <w:jc w:val="both"/>
        <w:rPr/>
      </w:pPr>
      <w:r>
        <w:rPr/>
        <w:tab/>
        <w:t>NAVAJO NATION TAXES: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The Navajo Nation asserts taxing authority over “all land within the exterior boundaries of the Navajo Indian Reservation or of the Eastern Navajo Agency, all land within the limits of dependent Navajo Indian communities, all Navajo Indian allotments, and all other land held in trust for, owned in fee by, or leased by the United States to the Navajo Nation or any Band of Navajo Indians.”  7 NNC </w:t>
      </w:r>
      <w:r>
        <w:rPr>
          <w:rFonts w:cs="WP TypographicSymbols;Courier New" w:ascii="WP TypographicSymbols;Courier New" w:hAnsi="WP TypographicSymbols;Courier New"/>
        </w:rPr>
        <w:t>'</w:t>
      </w:r>
      <w:r>
        <w:rPr/>
        <w:t xml:space="preserve"> 254.  As that definition suggests, the Nation asserts taxing authority over lands outside the recognized boundaries of the Navajo Reservation including a large area east and south of the Navajo Reservation boundaries in New Mexico.  Much of the land that the projected pipeline is likely to cross between Bloomfield, New Mexico and Gallup, New Mexico is within the area the Navajo Nation considers the “Eastern Navajo Agency” and thus likely will be subject to claims of Navajo taxing authority.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While the Navajo Nation likely will assert taxing jurisdiction over some portion of this project, Enron may be able to use recent United States Supreme Court precedent to challenge the Nation assertions of jurisdiction to tax.  In </w:t>
      </w:r>
      <w:r>
        <w:rPr>
          <w:u w:val="single"/>
        </w:rPr>
        <w:t>Strate v. A-1 Contractors</w:t>
      </w:r>
      <w:r>
        <w:rPr/>
        <w:t>, 520 U.S. 438 (1997), the Supreme Court reaffirmed the general rule that, absent Congressional delegation, the sovereign powers of an Indian tribe do not extend to the activities of non-members unless one of two narrow exceptions apply.  Those Supreme Court has described those exceptions as follows: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BlockText"/>
        <w:rPr/>
      </w:pPr>
      <w:r>
        <w:rPr/>
        <w:t>First, “[a] tribe may regulate, through taxation, licensing, or other means, the activities of nonmembers who enter consensual relationships with the tribe or its members through commercial dealings, contracts, leases, or other arrangements.”  Second, [a] tribe may . . . exercise civil authority over the conduct of non-Indians on fee lands within its reservation when that conduct threatens or has some direct effect on the political integrity, the economic security, or the health or welfare of the tribe.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u w:val="single"/>
        </w:rPr>
        <w:t>Montana v. United States</w:t>
      </w:r>
      <w:r>
        <w:rPr/>
        <w:t xml:space="preserve">, 450 U.S. 544, 565-66 (1981).  Depending on the land status and circumstances surrounding the negotiation of the rights-of-way for the various segments of the proposed pipeline project, Enron may be able to challenge the Navajo Nation’s assertion of taxing authority as to some or all of the segments of the pipeline. If some of the land which the pipeline will cross is owned or held in trust for the benefit of the Navajo Nation, the Nation will demand that Enron agree to certain “standard terms and conditions” as part of any right-of-way across such lands.  One element of those “standard terms and conditions,” are a general consent to the jurisdiction of the Navajo Nation for civil and regulatory purposes.  The Nation would seek to use that aspect of the “standard terms and conditions” to support taxing jurisdiction over all of the pipeline project within the Eastern Navajo Agency.  We have had experience in negotiating with the Navajo Nation concerning their “standard terms and conditions” and would be happy to discuss this issue with you in greater detail.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The Navajo Nation currently imposes three taxes, the Possessory Interest Tax, the Business Activity Tax, and the Fuel Excise Tax, which may apply to the proposed pipeline project.  A fourth tax, the Sales Tax, has been approved by the Navajo Tax Commission but has not yet been enacted into law by the Navajo Nation Council.  We understand, however, that the Sales Tax could be adopted soon and may have an effective date as early as January 1, 2002.  Each of these taxes are described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Possessory Interest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The Navajo Nation imposes its Possessory Interest Tax (“PIT”) on the value of “possessory interests” granted by the Navajo Nation.  The tax rate is three percent (3%) of the taxable value.  A “possessory interest” is defined as “property rights under a lease approved, consented to, or granted by the Navajo Nation, including the rights to the lease premises and underlying natural resources.”  A “lease” is in turn defined as “any agreement conferring rights to use or possess tribal lands or to sever products therefrom, including, but not limited to, a lease, right-of-way, use permit, or a joint venture or operating agreement.”  Possessory interests are classified into one of five possessory interest classifications as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1.</w:t>
        <w:tab/>
        <w:t>Class 1 possessory interest:  any lease used to extract, sever, transport, or process coal, oil, gas, minerals, and other natural resources;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2.</w:t>
        <w:tab/>
        <w:t>Class 2 possessory interest:  any lease used for the generation of electricity, or used for the transportation of electricity upon lines greater than 14.5 kV;</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3.</w:t>
        <w:tab/>
        <w:t>Class 3 possessory interest:  any lease used for commercial, industrial, manufacturing, assembling, or fabricating purposes;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4.</w:t>
        <w:tab/>
        <w:t>Class 4 possessory interest:  any lease used for residential purposes;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5.</w:t>
        <w:tab/>
        <w:t>Class 5 possessory interest:  any lease used for other purposes.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The taxable value of a Class 1 and a Class 2 possessory interest is 100% of its value.  The taxable value of a Class 3, Class 4, or Class 5 possessory interest is 10% of its value.  Based upon our present understanding of the proposed pipeline project, the lease or right-of-way granted to Enron by the Navajo Nation for the pipeline would be a class 1 possessory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The value of a possessory interest “shall be determined as provided in [</w:t>
      </w:r>
      <w:r>
        <w:rPr>
          <w:rFonts w:cs="WP TypographicSymbols;Courier New" w:ascii="WP TypographicSymbols;Courier New" w:hAnsi="WP TypographicSymbols;Courier New"/>
        </w:rPr>
        <w:t>'</w:t>
      </w:r>
      <w:r>
        <w:rPr/>
        <w:t xml:space="preserve"> 205 of the PIT code] or by any method adopted by the Office of the Navajo Tax Commission which accurately reflects fair market value.  Provided, that the value of a possessory interest shall exclude the value of leasehold improvements.”  The PIT Code establishes two valuation methodologies:  fair market value method and present value of income method.  Under the fair market value method, the “value of a possessory interest may be determined on the basis of the selling prices of comparable leases (whether within or without the Navajo Nation) which are sold by willing sellers to willing buyers, neither of whom are under a compulsion to act.”  Under the present value of income method, the value of a possessory interest “may be determined by computing the capitalized value of the gross income to be received from the lease less the reasonable expenses to be incurred in producing the income.  The allowable expenses shall be set forth in regulations.  Such capitalization shall be done for the remaining life of the lease.  If the lease term is indefinite, for the purpose of this method, the life of the lease shall be presumed to be twenty-five (25) years.”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Business Activity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The Business Activity Tax (“BAT”) is imposed on the net “source gains” of a “branch” from the sale of “Navajo goods or services.”  For most branches, taxable source gains are calculated by taking gross receipts from the sale of goods and services and subtracting certain deductions.  The net amount is then taxed at the rate of five percent (5%).  The BAT handles construction activity separately.  The tax on the gross receipts from construction activity of a branch engaged as a general contractor within the Nation is three percent (3%) and no deductions are allowed.  The BAT directs that a “branch may exclude from its gross receipts any amount received under a subcontract and a certificate of exemption issued from the general contractor, provided that the general contractor is a person wholly exempt under Section 408(a) or is a branch which reports the gross receipts for the entire prime contract .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A branch is defined as “any person engaged in trade, commerce, manufacture, power production, or any other productive activity, whether for profit or not, wholly or in part within the Navajo Nation.”  Source gains are defined as “the gross receipts of that branch from the sale, either within or without the Navajo Nation, of Navajo goods, or services,” minus deductions allowed by the act.  Navajo goods are defined as “all personal property produced, processed, or extracted within the Navajo Nation, including coal, oil, uranium, gas, and other natural resources and electrical power.”  Navajo Services are defined as “all services performed within the Navajo Nation including the transport or transmission by whatever means of coal, oil, uranium, gas, other natural resources and electrical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The BAT defines gross receipts as “the amount of money or the fair market value of property and services received by the branch on the sale of Navajo goods or services.”  For sales occurring outside the Navajo Nation, gross receipts are “determined by the value of the Navajo goods and services at the time and place said goods and services are transported outside the Navajo 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Fuel Excise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The Navajo Nation Fuel Excise Tax (“FET”) is imposed for the “privilege of distributing or retailing any amount of fuel within the Navajo Nation . . ..”  The tax is imposed at the rate of eighteen cents ($0.18) per gallon.  If the contractor or a subcontractor on the project itself imports fuel into the Navajo Nation to be held in a storage tank for refueling construction vehicles or equipment involved in the construction project, that contractor or subcontractor could be considered a “distributor” for purposes of the FET.  Alternatively, if the contractor or subcontractor has a separate fuel supplier deliver the fuel to the project site for use on the project, that fuel supplier could be considered a “distributor” for purposes of the FET.  The FET does not contain exemptions for fuel imported for use in construction equipment or for fuel used exclusively in construction or off-road vehicles.  The FET requires a “distributor” to obtain a license from the Navajo Tax Commission.  The tax is a self-reporting tax with distributor’s monthly returns due twenty (20) days after the end of each month.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Outline2"/>
        <w:keepLines/>
        <w:widowControl/>
        <w:numPr>
          <w:ilvl w:val="1"/>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720" w:start="1440" w:end="0"/>
        <w:jc w:val="both"/>
        <w:rPr/>
      </w:pPr>
      <w:r>
        <w:rPr/>
        <w:tab/>
        <w:t>Proposed Navajo Sales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ab/>
        <w:t xml:space="preserve">The proposed Navajo Sales Tax would impose a tax on the gross receipts of a person at the rate of three percent (3%) of gross receipts from all retail sales.  The proposed sales tax specifically provides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start="1440" w:end="1440"/>
        <w:jc w:val="both"/>
        <w:rPr/>
      </w:pPr>
      <w:r>
        <w:rPr/>
        <w:t>Nothing in this Chapter shall be construed as imposing a tax on the gross receipts of a subcontractor, provided that: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start="1440" w:end="14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firstLine="720" w:start="1440" w:end="1440"/>
        <w:jc w:val="both"/>
        <w:rPr/>
      </w:pPr>
      <w:r>
        <w:rPr/>
        <w:t>1.  The general contractor with whom the subcontractor has contracted has reported and paid all taxes due under this Chapter, or has assumed liability for payment of all taxes due under this Chapter by signing and issuing a certificate of exemption to the subcontractor;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start="1440" w:end="14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firstLine="720" w:start="1440" w:end="1440"/>
        <w:jc w:val="both"/>
        <w:rPr/>
      </w:pPr>
      <w:r>
        <w:rPr/>
        <w:t>2.  The subcontractor must obtain from the general contractor a certificate of exemption issued to the general contractor by the Office of the Navajo Tax Commission.  This certificate must be signed by the general contractor, and must indicate that the general contractor has reported and paid all taxes due under this Chapter, or has assumed liability for payment of all taxes due under this Chapter;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start="1440" w:end="14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firstLine="720" w:start="1440" w:end="1440"/>
        <w:jc w:val="both"/>
        <w:rPr/>
      </w:pPr>
      <w:r>
        <w:rPr/>
        <w:t>3.  The Commission may by form or regulation provide for the proper issuance and filing of the certificate of exemption.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ind w:end="144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jc w:val="both"/>
        <w:rPr/>
      </w:pPr>
      <w:r>
        <w:rPr/>
        <w:t>The proposed sales tax further provides that in calculating applicable gross receipts, a person may exclude gross receipts on which Navajo Nation FET has been paid.  We understand that if the Navajo Nation Council adopts Navajo Sales Tax, the BAT would also be amended to make clear that entities engaged in construction services as a general contractor would pay the Sales Tax and not the BAT.  We have not seen the proposed amendment to the BAT on this point, but have requested a copy of the draft language and will forward it to you as soon as we have a copy.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tLeast" w:line="0"/>
        <w:jc w:val="both"/>
        <w:rPr>
          <w:sz w:val="20"/>
        </w:rPr>
      </w:pPr>
      <w:r>
        <w:rPr>
          <w:sz w:val="20"/>
        </w:rPr>
        <w:fldChar w:fldCharType="begin"/>
      </w:r>
      <w:r>
        <w:rPr>
          <w:sz w:val="20"/>
        </w:rPr>
        <w:instrText xml:space="preserve"> FILENAME </w:instrText>
      </w:r>
      <w:r>
        <w:rPr>
          <w:sz w:val="20"/>
        </w:rPr>
        <w:fldChar w:fldCharType="separate"/>
      </w:r>
      <w:r>
        <w:rPr>
          <w:sz w:val="20"/>
        </w:rPr>
        <w:t>NM_Law_Reply_W0190960.DOC</w:t>
      </w:r>
      <w:r>
        <w:rPr>
          <w:sz w:val="20"/>
        </w:rPr>
        <w:fldChar w:fldCharType="end"/>
      </w:r>
    </w:p>
    <w:sectPr>
      <w:headerReference w:type="even" r:id="rId2"/>
      <w:headerReference w:type="default" r:id="rId3"/>
      <w:footerReference w:type="even" r:id="rId4"/>
      <w:footerReference w:type="default" r:id="rId5"/>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right" w:pos="9360" w:leader="none"/>
      </w:tabs>
      <w:rPr/>
    </w:pPr>
    <w:r>
      <w:rPr/>
    </w:r>
    <w:r>
      <mc:AlternateContent>
        <mc:Choice Requires="wps">
          <w:drawing>
            <wp:anchor behindDoc="0" distT="0" distB="0" distL="0" distR="0" simplePos="0" locked="0" layoutInCell="0" allowOverlap="1" relativeHeight="9">
              <wp:simplePos x="0" y="0"/>
              <wp:positionH relativeFrom="column">
                <wp:align>left</wp:align>
              </wp:positionH>
              <wp:positionV relativeFrom="page">
                <wp:posOffset>9601200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clear" w:pos="720"/>
                              <w:tab w:val="left" w:pos="0" w:leader="none"/>
                              <w:tab w:val="center" w:pos="4320" w:leader="none"/>
                              <w:tab w:val="right" w:pos="8640" w:leader="none"/>
                              <w:tab w:val="right" w:pos="9360" w:leader="none"/>
                            </w:tabs>
                            <w:spacing w:lineRule="atLeast" w:line="0"/>
                            <w:jc w:val="center"/>
                            <w:rPr>
                              <w:vanish/>
                            </w:rPr>
                          </w:pPr>
                          <w:r>
                            <w:rPr/>
                            <w:fldChar w:fldCharType="begin"/>
                          </w:r>
                          <w:r>
                            <w:rPr/>
                            <w:instrText xml:space="preserve"> PAGE \* ARABIC </w:instrText>
                          </w:r>
                          <w:r>
                            <w:rPr/>
                            <w:fldChar w:fldCharType="separate"/>
                          </w:r>
                          <w:r>
                            <w:rPr/>
                            <w:t>8</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56pt;mso-position-vertical-relative:page;margin-left:0pt;mso-position-horizontal:left;mso-position-horizontal-relative:text">
              <v:fill opacity="0f"/>
              <v:textbox inset="0in,0in,0in,0in">
                <w:txbxContent>
                  <w:p>
                    <w:pPr>
                      <w:pStyle w:val="Normal"/>
                      <w:tabs>
                        <w:tab w:val="clear" w:pos="720"/>
                        <w:tab w:val="left" w:pos="0" w:leader="none"/>
                        <w:tab w:val="center" w:pos="4320" w:leader="none"/>
                        <w:tab w:val="right" w:pos="8640" w:leader="none"/>
                        <w:tab w:val="right" w:pos="9360" w:leader="none"/>
                      </w:tabs>
                      <w:spacing w:lineRule="atLeast" w:line="0"/>
                      <w:jc w:val="center"/>
                      <w:rPr>
                        <w:vanish/>
                      </w:rPr>
                    </w:pPr>
                    <w:r>
                      <w:rPr/>
                      <w:fldChar w:fldCharType="begin"/>
                    </w:r>
                    <w:r>
                      <w:rPr/>
                      <w:instrText xml:space="preserve"> PAGE \* ARABIC </w:instrText>
                    </w:r>
                    <w:r>
                      <w:rPr/>
                      <w:fldChar w:fldCharType="separate"/>
                    </w:r>
                    <w:r>
                      <w:rPr/>
                      <w:t>8</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 w:val="right" w:pos="9360" w:leader="none"/>
      </w:tabs>
      <w:spacing w:lineRule="atLeast" w:line="0"/>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9601200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tabs>
                              <w:tab w:val="clear" w:pos="720"/>
                              <w:tab w:val="left" w:pos="0" w:leader="none"/>
                              <w:tab w:val="center" w:pos="4320" w:leader="none"/>
                              <w:tab w:val="right" w:pos="8640" w:leader="none"/>
                              <w:tab w:val="right" w:pos="9360" w:leader="none"/>
                            </w:tabs>
                            <w:jc w:val="center"/>
                            <w:rPr>
                              <w:vanish/>
                            </w:rPr>
                          </w:pPr>
                          <w:r>
                            <w:rPr/>
                            <w:fldChar w:fldCharType="begin"/>
                          </w:r>
                          <w:r>
                            <w:rPr/>
                            <w:instrText xml:space="preserve"> PAGE \* ARABIC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56pt;mso-position-vertical-relative:page;margin-left:0pt;mso-position-horizontal:left;mso-position-horizontal-relative:text">
              <v:fill opacity="0f"/>
              <v:textbox inset="0in,0in,0in,0in">
                <w:txbxContent>
                  <w:p>
                    <w:pPr>
                      <w:pStyle w:val="Normal"/>
                      <w:tabs>
                        <w:tab w:val="clear" w:pos="720"/>
                        <w:tab w:val="left" w:pos="0" w:leader="none"/>
                        <w:tab w:val="center" w:pos="4320" w:leader="none"/>
                        <w:tab w:val="right" w:pos="8640" w:leader="none"/>
                        <w:tab w:val="right" w:pos="9360" w:leader="none"/>
                      </w:tabs>
                      <w:jc w:val="center"/>
                      <w:rPr>
                        <w:vanish/>
                      </w:rPr>
                    </w:pPr>
                    <w:r>
                      <w:rPr/>
                      <w:fldChar w:fldCharType="begin"/>
                    </w:r>
                    <w:r>
                      <w:rPr/>
                      <w:instrText xml:space="preserve"> PAGE \* ARABIC </w:instrText>
                    </w:r>
                    <w:r>
                      <w:rPr/>
                      <w:fldChar w:fldCharType="separate"/>
                    </w:r>
                    <w:r>
                      <w:rPr/>
                      <w:t>7</w:t>
                    </w:r>
                    <w:r>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1."/>
      <w:lvlJc w:val="start"/>
      <w:pPr>
        <w:tabs>
          <w:tab w:val="num" w:pos="0"/>
        </w:tabs>
        <w:ind w:start="0" w:hanging="0"/>
      </w:pPr>
    </w:lvl>
    <w:lvl w:ilvl="1">
      <w:start w:val="1"/>
      <w:numFmt w:val="upperLetter"/>
      <w:suff w:val="nothing"/>
      <w:lvlText w:val="%2."/>
      <w:lvlJc w:val="start"/>
      <w:pPr>
        <w:tabs>
          <w:tab w:val="num" w:pos="0"/>
        </w:tabs>
        <w:ind w:start="0" w:hanging="0"/>
      </w:pPr>
    </w:lvl>
    <w:lvl w:ilvl="2">
      <w:start w:val="1"/>
      <w:numFmt w:val="decimal"/>
      <w:suff w:val="nothing"/>
      <w:lvlText w:val="%3."/>
      <w:lvlJc w:val="start"/>
      <w:pPr>
        <w:tabs>
          <w:tab w:val="num" w:pos="0"/>
        </w:tabs>
        <w:ind w:start="0" w:hanging="0"/>
      </w:pPr>
    </w:lvl>
    <w:lvl w:ilvl="3">
      <w:start w:val="1"/>
      <w:numFmt w:val="lowerLetter"/>
      <w:suff w:val="nothing"/>
      <w:lvlText w:val="%4)"/>
      <w:lvlJc w:val="start"/>
      <w:pPr>
        <w:tabs>
          <w:tab w:val="num" w:pos="0"/>
        </w:tabs>
        <w:ind w:start="0" w:hanging="0"/>
      </w:pPr>
    </w:lvl>
    <w:lvl w:ilvl="4">
      <w:start w:val="1"/>
      <w:numFmt w:val="decimal"/>
      <w:suff w:val="nothing"/>
      <w:lvlText w:val="(%5)"/>
      <w:lvlJc w:val="start"/>
      <w:pPr>
        <w:tabs>
          <w:tab w:val="num" w:pos="0"/>
        </w:tabs>
        <w:ind w:start="0" w:hanging="0"/>
      </w:pPr>
    </w:lvl>
    <w:lvl w:ilvl="5">
      <w:start w:val="1"/>
      <w:numFmt w:val="lowerLetter"/>
      <w:suff w:val="nothing"/>
      <w:lvlText w:val="(%6)"/>
      <w:lvlJc w:val="start"/>
      <w:pPr>
        <w:tabs>
          <w:tab w:val="num" w:pos="0"/>
        </w:tabs>
        <w:ind w:start="0" w:hanging="0"/>
      </w:pPr>
    </w:lvl>
    <w:lvl w:ilvl="6">
      <w:start w:val="1"/>
      <w:numFmt w:val="lowerRoman"/>
      <w:suff w:val="nothing"/>
      <w:lvlText w:val="(%7)"/>
      <w:lvlJc w:val="start"/>
      <w:pPr>
        <w:tabs>
          <w:tab w:val="num" w:pos="0"/>
        </w:tabs>
        <w:ind w:start="0" w:hanging="0"/>
      </w:pPr>
    </w:lvl>
    <w:lvl w:ilvl="7">
      <w:start w:val="1"/>
      <w:numFmt w:val="lowerLetter"/>
      <w:suff w:val="nothing"/>
      <w:lvlText w:val="(%8)"/>
      <w:lvlJc w:val="start"/>
      <w:pPr>
        <w:tabs>
          <w:tab w:val="num" w:pos="0"/>
        </w:tabs>
        <w:ind w:start="0" w:hanging="0"/>
      </w:pPr>
    </w:lvl>
    <w:lvl w:ilvl="8">
      <w:start w:val="1"/>
      <w:numFmt w:val="lowerRoman"/>
      <w:suff w:val="nothing"/>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aultPara">
    <w:name w:val="Default Para"/>
    <w:qFormat/>
    <w:rPr/>
  </w:style>
  <w:style w:type="character" w:styleId="WP9PageNumber">
    <w:name w:val="WP9_Page Numb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1440" w:end="1440"/>
      <w:jc w:val="both"/>
    </w:pPr>
    <w:rPr/>
  </w:style>
  <w:style w:type="paragraph" w:styleId="Outline1">
    <w:name w:val="Outline1"/>
    <w:basedOn w:val="Normal"/>
    <w:qFormat/>
    <w:pPr>
      <w:widowControl w:val="false"/>
    </w:pPr>
    <w:rPr>
      <w:b/>
      <w:smallCaps/>
      <w:u w:val="single"/>
    </w:rPr>
  </w:style>
  <w:style w:type="paragraph" w:styleId="Outline2">
    <w:name w:val="Outline2"/>
    <w:basedOn w:val="Normal"/>
    <w:qFormat/>
    <w:pPr>
      <w:widowControl w:val="false"/>
    </w:pPr>
    <w:rPr>
      <w:b/>
      <w:u w:val="single"/>
    </w:rPr>
  </w:style>
  <w:style w:type="paragraph" w:styleId="level3">
    <w:name w:val="_level3"/>
    <w:basedOn w:val="Normal"/>
    <w:qFormat/>
    <w:pPr>
      <w:widowControl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pPr>
    <w:rPr/>
  </w:style>
  <w:style w:type="paragraph" w:styleId="level4">
    <w:name w:val="_level4"/>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pPr>
    <w:rPr/>
  </w:style>
  <w:style w:type="paragraph" w:styleId="level5">
    <w:name w:val="_level5"/>
    <w:basedOn w:val="Normal"/>
    <w:qFormat/>
    <w:pPr>
      <w:widowControl w:val="false"/>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pPr>
    <w:rPr/>
  </w:style>
  <w:style w:type="paragraph" w:styleId="level6">
    <w:name w:val="_level6"/>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pPr>
    <w:rPr/>
  </w:style>
  <w:style w:type="paragraph" w:styleId="level7">
    <w:name w:val="_level7"/>
    <w:basedOn w:val="Normal"/>
    <w:qFormat/>
    <w:pPr>
      <w:widowControl w:val="false"/>
      <w:tabs>
        <w:tab w:val="clear" w:pos="720"/>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pPr>
    <w:rPr/>
  </w:style>
  <w:style w:type="paragraph" w:styleId="level8">
    <w:name w:val="_level8"/>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pPr>
    <w:rPr/>
  </w:style>
  <w:style w:type="paragraph" w:styleId="level9">
    <w:name w:val="_level9"/>
    <w:basedOn w:val="Normal"/>
    <w:qFormat/>
    <w:pPr>
      <w:widowControl w:val="false"/>
      <w:tabs>
        <w:tab w:val="clear" w:pos="720"/>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pPr>
    <w:rPr/>
  </w:style>
  <w:style w:type="paragraph" w:styleId="level1">
    <w:name w:val="_level1"/>
    <w:basedOn w:val="Normal"/>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pPr>
    <w:rPr/>
  </w:style>
  <w:style w:type="paragraph" w:styleId="level2">
    <w:name w:val="_level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pPr>
    <w:rPr/>
  </w:style>
  <w:style w:type="paragraph" w:styleId="levsl1">
    <w:name w:val="_levsl1"/>
    <w:basedOn w:val="Normal"/>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pPr>
    <w:rPr/>
  </w:style>
  <w:style w:type="paragraph" w:styleId="levsl2">
    <w:name w:val="_levsl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pPr>
    <w:rPr/>
  </w:style>
  <w:style w:type="paragraph" w:styleId="levsl3">
    <w:name w:val="_levsl3"/>
    <w:basedOn w:val="Normal"/>
    <w:qFormat/>
    <w:pPr>
      <w:widowControl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pPr>
    <w:rPr/>
  </w:style>
  <w:style w:type="paragraph" w:styleId="levsl4">
    <w:name w:val="_levsl4"/>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pPr>
    <w:rPr/>
  </w:style>
  <w:style w:type="paragraph" w:styleId="levsl5">
    <w:name w:val="_levsl5"/>
    <w:basedOn w:val="Normal"/>
    <w:qFormat/>
    <w:pPr>
      <w:widowControl w:val="false"/>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pPr>
    <w:rPr/>
  </w:style>
  <w:style w:type="paragraph" w:styleId="levsl6">
    <w:name w:val="_levsl6"/>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pPr>
    <w:rPr/>
  </w:style>
  <w:style w:type="paragraph" w:styleId="levsl7">
    <w:name w:val="_levsl7"/>
    <w:basedOn w:val="Normal"/>
    <w:qFormat/>
    <w:pPr>
      <w:widowControl w:val="false"/>
      <w:tabs>
        <w:tab w:val="clear" w:pos="720"/>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pPr>
    <w:rPr/>
  </w:style>
  <w:style w:type="paragraph" w:styleId="levsl8">
    <w:name w:val="_levsl8"/>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pPr>
    <w:rPr/>
  </w:style>
  <w:style w:type="paragraph" w:styleId="levsl9">
    <w:name w:val="_levsl9"/>
    <w:basedOn w:val="Normal"/>
    <w:qFormat/>
    <w:pPr>
      <w:widowControl w:val="false"/>
      <w:tabs>
        <w:tab w:val="clear" w:pos="720"/>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pPr>
    <w:rPr/>
  </w:style>
  <w:style w:type="paragraph" w:styleId="levnl1">
    <w:name w:val="_levnl1"/>
    <w:basedOn w:val="Normal"/>
    <w:qFormat/>
    <w:pPr>
      <w:widowControl w:val="false"/>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60" w:end="0"/>
    </w:pPr>
    <w:rPr/>
  </w:style>
  <w:style w:type="paragraph" w:styleId="levnl2">
    <w:name w:val="_levnl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720" w:end="0"/>
    </w:pPr>
    <w:rPr/>
  </w:style>
  <w:style w:type="paragraph" w:styleId="levnl3">
    <w:name w:val="_levnl3"/>
    <w:basedOn w:val="Normal"/>
    <w:qFormat/>
    <w:pPr>
      <w:widowControl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080" w:end="0"/>
    </w:pPr>
    <w:rPr/>
  </w:style>
  <w:style w:type="paragraph" w:styleId="levnl4">
    <w:name w:val="_levnl4"/>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440" w:end="0"/>
    </w:pPr>
    <w:rPr/>
  </w:style>
  <w:style w:type="paragraph" w:styleId="levnl5">
    <w:name w:val="_levnl5"/>
    <w:basedOn w:val="Normal"/>
    <w:qFormat/>
    <w:pPr>
      <w:widowControl w:val="false"/>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1800" w:end="0"/>
    </w:pPr>
    <w:rPr/>
  </w:style>
  <w:style w:type="paragraph" w:styleId="levnl6">
    <w:name w:val="_levnl6"/>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160" w:end="0"/>
    </w:pPr>
    <w:rPr/>
  </w:style>
  <w:style w:type="paragraph" w:styleId="levnl7">
    <w:name w:val="_levnl7"/>
    <w:basedOn w:val="Normal"/>
    <w:qFormat/>
    <w:pPr>
      <w:widowControl w:val="false"/>
      <w:tabs>
        <w:tab w:val="clear" w:pos="720"/>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520" w:end="0"/>
    </w:pPr>
    <w:rPr/>
  </w:style>
  <w:style w:type="paragraph" w:styleId="levnl8">
    <w:name w:val="_levnl8"/>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2880" w:end="0"/>
    </w:pPr>
    <w:rPr/>
  </w:style>
  <w:style w:type="paragraph" w:styleId="levnl9">
    <w:name w:val="_levnl9"/>
    <w:basedOn w:val="Normal"/>
    <w:qFormat/>
    <w:pPr>
      <w:widowControl w:val="false"/>
      <w:tabs>
        <w:tab w:val="clear" w:pos="720"/>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360" w:start="3240" w:end="0"/>
    </w:pPr>
    <w:rPr/>
  </w:style>
  <w:style w:type="paragraph" w:styleId="WP9Heading1">
    <w:name w:val="WP9_Heading 1"/>
    <w:basedOn w:val="Normal"/>
    <w:qFormat/>
    <w:pPr>
      <w:widowControl w:val="false"/>
    </w:pPr>
    <w:rPr>
      <w:b/>
      <w:sz w:val="24"/>
    </w:rPr>
  </w:style>
  <w:style w:type="paragraph" w:styleId="WP9Header">
    <w:name w:val="WP9_Header"/>
    <w:basedOn w:val="Normal"/>
    <w:qFormat/>
    <w:pPr>
      <w:widowControl w:val="false"/>
      <w:tabs>
        <w:tab w:val="clear" w:pos="720"/>
        <w:tab w:val="left" w:pos="0" w:leader="none"/>
        <w:tab w:val="center" w:pos="4320" w:leader="none"/>
        <w:tab w:val="right" w:pos="8640" w:leader="none"/>
        <w:tab w:val="right" w:pos="9360" w:leader="none"/>
      </w:tabs>
    </w:pPr>
    <w:rPr/>
  </w:style>
  <w:style w:type="paragraph" w:styleId="WP9Footer">
    <w:name w:val="WP9_Footer"/>
    <w:basedOn w:val="Normal"/>
    <w:qFormat/>
    <w:pPr>
      <w:widowControl w:val="false"/>
      <w:tabs>
        <w:tab w:val="clear" w:pos="720"/>
        <w:tab w:val="left" w:pos="0" w:leader="none"/>
        <w:tab w:val="center" w:pos="4320" w:leader="none"/>
        <w:tab w:val="right" w:pos="8640" w:leader="none"/>
        <w:tab w:val="right" w:pos="936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2001-09-28T13:37:00Z</dcterms:created>
  <dc:creator>trv</dc:creator>
  <dc:description/>
  <dc:language>en-CA</dc:language>
  <cp:lastModifiedBy>Jerry T.  Moore</cp:lastModifiedBy>
  <cp:lastPrinted>2001-09-28T11:07:00Z</cp:lastPrinted>
  <dcterms:modified xsi:type="dcterms:W3CDTF">2001-09-28T13:37:00Z</dcterms:modified>
  <cp:revision>2</cp:revision>
  <dc:subject/>
  <dc:title>K:\dox\client\90000\207\W0190960.DOC</dc:title>
</cp:coreProperties>
</file>